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CE6022">
        <w:rPr>
          <w:rFonts w:ascii="Times New Roman" w:hAnsi="Times New Roman"/>
          <w:b/>
          <w:color w:val="4F6228" w:themeColor="accent3" w:themeShade="80"/>
          <w:sz w:val="24"/>
          <w:szCs w:val="24"/>
        </w:rPr>
        <w:t xml:space="preserve">Program </w:t>
      </w:r>
      <w:proofErr w:type="spellStart"/>
      <w:r w:rsidR="00850EF4" w:rsidRPr="00CE6022">
        <w:rPr>
          <w:rFonts w:ascii="Times New Roman" w:hAnsi="Times New Roman"/>
          <w:b/>
          <w:color w:val="4F6228" w:themeColor="accent3" w:themeShade="80"/>
          <w:sz w:val="24"/>
          <w:szCs w:val="24"/>
        </w:rPr>
        <w:t>information</w:t>
      </w:r>
      <w:proofErr w:type="spellEnd"/>
      <w:r w:rsidR="00850EF4" w:rsidRPr="00CE6022">
        <w:rPr>
          <w:rFonts w:ascii="Times New Roman" w:hAnsi="Times New Roman"/>
          <w:b/>
          <w:color w:val="4F6228" w:themeColor="accent3" w:themeShade="8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2ED0EBEC" w:rsidR="00FD0711"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1.1</w:t>
            </w:r>
            <w:r w:rsidR="004659BE" w:rsidRPr="004659BE">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885686" w:rsidRDefault="00C26673" w:rsidP="003F130E">
            <w:pPr>
              <w:pStyle w:val="Heading3"/>
              <w:rPr>
                <w:sz w:val="20"/>
                <w:lang w:val="en-GB"/>
              </w:rPr>
            </w:pPr>
            <w:r w:rsidRPr="00885686">
              <w:rPr>
                <w:color w:val="4F6228" w:themeColor="accent3" w:themeShade="80"/>
                <w:sz w:val="20"/>
                <w:lang w:val="en-GB"/>
              </w:rPr>
              <w:t>National University of Science and Technology POLITEHNICA Bucharest</w:t>
            </w:r>
          </w:p>
        </w:tc>
      </w:tr>
      <w:tr w:rsidR="00FD0711" w:rsidRPr="00CE6022" w14:paraId="3BA60826" w14:textId="77777777" w:rsidTr="00885686">
        <w:tc>
          <w:tcPr>
            <w:tcW w:w="1760" w:type="pct"/>
          </w:tcPr>
          <w:p w14:paraId="03B4F8D9" w14:textId="1FF78258" w:rsidR="00FD0711" w:rsidRPr="00CE6022" w:rsidRDefault="00FD0711" w:rsidP="004659BE">
            <w:pPr>
              <w:spacing w:after="0" w:line="240" w:lineRule="auto"/>
              <w:ind w:left="340" w:hanging="340"/>
              <w:rPr>
                <w:rFonts w:ascii="Times New Roman" w:hAnsi="Times New Roman"/>
                <w:color w:val="9BBB59" w:themeColor="accent3"/>
                <w:sz w:val="20"/>
                <w:szCs w:val="20"/>
              </w:rPr>
            </w:pPr>
            <w:r w:rsidRPr="004659BE">
              <w:rPr>
                <w:rFonts w:ascii="Times New Roman" w:hAnsi="Times New Roman"/>
                <w:b/>
                <w:bCs/>
                <w:sz w:val="20"/>
                <w:szCs w:val="20"/>
              </w:rPr>
              <w:t>1.2</w:t>
            </w:r>
            <w:r w:rsidR="004659BE" w:rsidRPr="004659BE">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 xml:space="preserve">Doctoral </w:t>
            </w:r>
            <w:proofErr w:type="spellStart"/>
            <w:r w:rsidR="009B1242" w:rsidRPr="00CE6022">
              <w:rPr>
                <w:rFonts w:ascii="Times New Roman" w:hAnsi="Times New Roman"/>
                <w:color w:val="4F6228" w:themeColor="accent3" w:themeShade="80"/>
                <w:sz w:val="20"/>
                <w:szCs w:val="20"/>
              </w:rPr>
              <w:t>school</w:t>
            </w:r>
            <w:proofErr w:type="spellEnd"/>
          </w:p>
        </w:tc>
        <w:tc>
          <w:tcPr>
            <w:tcW w:w="3240" w:type="pct"/>
          </w:tcPr>
          <w:p w14:paraId="50BB472A" w14:textId="164616BA" w:rsidR="00FD0711" w:rsidRPr="00CE6022" w:rsidRDefault="002C63CC"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2E0D5E95" w:rsidR="00FD0711" w:rsidRPr="00CE6022" w:rsidRDefault="00D26806" w:rsidP="003F130E">
            <w:pPr>
              <w:spacing w:after="0" w:line="240" w:lineRule="auto"/>
              <w:rPr>
                <w:rFonts w:ascii="Times New Roman" w:hAnsi="Times New Roman"/>
                <w:sz w:val="20"/>
                <w:szCs w:val="20"/>
              </w:rPr>
            </w:pPr>
            <w:r w:rsidRPr="00CE6022">
              <w:rPr>
                <w:rFonts w:ascii="Times New Roman" w:hAnsi="Times New Roman"/>
                <w:sz w:val="20"/>
                <w:szCs w:val="20"/>
              </w:rPr>
              <w:t xml:space="preserve">Inginerie Industrială / </w:t>
            </w:r>
            <w:r w:rsidRPr="00CE6022">
              <w:rPr>
                <w:rFonts w:ascii="Times New Roman" w:hAnsi="Times New Roman"/>
                <w:color w:val="4F6228" w:themeColor="accent3" w:themeShade="80"/>
                <w:sz w:val="20"/>
                <w:szCs w:val="20"/>
              </w:rPr>
              <w:t>Industrial Engineering</w:t>
            </w:r>
          </w:p>
        </w:tc>
      </w:tr>
      <w:tr w:rsidR="00FD0711" w:rsidRPr="00CE6022" w14:paraId="364B4DCD" w14:textId="77777777" w:rsidTr="00885686">
        <w:tc>
          <w:tcPr>
            <w:tcW w:w="1760" w:type="pct"/>
          </w:tcPr>
          <w:p w14:paraId="2D0E1983" w14:textId="2F7CD3D3" w:rsidR="00FD0711"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proofErr w:type="spellStart"/>
            <w:r w:rsidR="00D26806" w:rsidRPr="001F40E5">
              <w:rPr>
                <w:rFonts w:ascii="Times New Roman" w:hAnsi="Times New Roman"/>
                <w:color w:val="4F6228" w:themeColor="accent3" w:themeShade="80"/>
                <w:sz w:val="20"/>
                <w:szCs w:val="20"/>
              </w:rPr>
              <w:t>PhD</w:t>
            </w:r>
            <w:proofErr w:type="spellEnd"/>
          </w:p>
        </w:tc>
      </w:tr>
      <w:tr w:rsidR="00D46EF7" w:rsidRPr="00CE6022" w14:paraId="456B9D7C" w14:textId="77777777" w:rsidTr="00885686">
        <w:trPr>
          <w:trHeight w:val="231"/>
        </w:trPr>
        <w:tc>
          <w:tcPr>
            <w:tcW w:w="1760" w:type="pct"/>
          </w:tcPr>
          <w:p w14:paraId="78642FEF" w14:textId="299C8F1F" w:rsidR="00D46EF7" w:rsidRPr="00CE6022" w:rsidRDefault="00D46EF7"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885686" w:rsidRDefault="00FD0711" w:rsidP="003F130E">
      <w:pPr>
        <w:spacing w:after="0" w:line="240" w:lineRule="auto"/>
        <w:rPr>
          <w:rFonts w:ascii="Times New Roman" w:hAnsi="Times New Roman"/>
          <w:sz w:val="16"/>
          <w:szCs w:val="16"/>
        </w:rPr>
      </w:pPr>
    </w:p>
    <w:p w14:paraId="749E27FA" w14:textId="132CB30B"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r w:rsidR="00410F95" w:rsidRPr="00410F95">
        <w:rPr>
          <w:rFonts w:ascii="Times New Roman" w:hAnsi="Times New Roman"/>
          <w:b/>
          <w:color w:val="4F6228" w:themeColor="accent3" w:themeShade="80"/>
          <w:sz w:val="24"/>
          <w:szCs w:val="24"/>
          <w:lang w:val="en-GB"/>
        </w:rPr>
        <w:t>Subject</w:t>
      </w:r>
      <w:r w:rsidR="00085094" w:rsidRPr="00410F95">
        <w:rPr>
          <w:rFonts w:ascii="Times New Roman" w:hAnsi="Times New Roman"/>
          <w:b/>
          <w:color w:val="4F6228" w:themeColor="accent3" w:themeShade="80"/>
          <w:sz w:val="24"/>
          <w:szCs w:val="24"/>
          <w:lang w:val="en-GB"/>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550"/>
        <w:gridCol w:w="657"/>
        <w:gridCol w:w="351"/>
        <w:gridCol w:w="284"/>
        <w:gridCol w:w="713"/>
        <w:gridCol w:w="353"/>
        <w:gridCol w:w="2051"/>
        <w:gridCol w:w="494"/>
        <w:gridCol w:w="2342"/>
        <w:gridCol w:w="680"/>
      </w:tblGrid>
      <w:tr w:rsidR="00FD0711" w:rsidRPr="00CE6022" w14:paraId="57E36C1D" w14:textId="77777777" w:rsidTr="00CE6022">
        <w:tc>
          <w:tcPr>
            <w:tcW w:w="1524" w:type="pct"/>
            <w:gridSpan w:val="3"/>
          </w:tcPr>
          <w:p w14:paraId="61BD6346" w14:textId="6B6412CF" w:rsidR="00532F3D"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2.1</w:t>
            </w:r>
            <w:r w:rsidR="004659BE" w:rsidRPr="004659BE">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proofErr w:type="spellStart"/>
            <w:r w:rsidR="00410F95">
              <w:rPr>
                <w:rFonts w:ascii="Times New Roman" w:hAnsi="Times New Roman"/>
                <w:sz w:val="20"/>
                <w:szCs w:val="20"/>
                <w:lang w:val="en-GB"/>
              </w:rPr>
              <w:t>Suject</w:t>
            </w:r>
            <w:proofErr w:type="spellEnd"/>
            <w:r w:rsidR="00085094" w:rsidRPr="00F56869">
              <w:rPr>
                <w:rFonts w:ascii="Times New Roman" w:hAnsi="Times New Roman"/>
                <w:sz w:val="20"/>
                <w:szCs w:val="20"/>
                <w:lang w:val="en-GB"/>
              </w:rPr>
              <w:t xml:space="preserve"> title </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ro</w:t>
            </w:r>
            <w:proofErr w:type="spellEnd"/>
            <w:r w:rsidR="00532F3D" w:rsidRPr="00F56869">
              <w:rPr>
                <w:rFonts w:ascii="Times New Roman" w:hAnsi="Times New Roman"/>
                <w:sz w:val="20"/>
                <w:szCs w:val="20"/>
                <w:lang w:val="en-GB"/>
              </w:rPr>
              <w:t>)</w:t>
            </w:r>
            <w:r w:rsidR="00885686" w:rsidRPr="00F56869">
              <w:rPr>
                <w:rFonts w:ascii="Times New Roman" w:hAnsi="Times New Roman"/>
                <w:sz w:val="20"/>
                <w:szCs w:val="20"/>
                <w:lang w:val="en-GB"/>
              </w:rPr>
              <w:t>/</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en</w:t>
            </w:r>
            <w:r w:rsidR="00885686" w:rsidRPr="00F56869">
              <w:rPr>
                <w:rFonts w:ascii="Times New Roman" w:hAnsi="Times New Roman"/>
                <w:sz w:val="20"/>
                <w:szCs w:val="20"/>
                <w:lang w:val="en-GB"/>
              </w:rPr>
              <w:t>g</w:t>
            </w:r>
            <w:proofErr w:type="spellEnd"/>
            <w:r w:rsidR="00532F3D" w:rsidRPr="00F56869">
              <w:rPr>
                <w:rFonts w:ascii="Times New Roman" w:hAnsi="Times New Roman"/>
                <w:sz w:val="20"/>
                <w:szCs w:val="20"/>
                <w:lang w:val="en-GB"/>
              </w:rPr>
              <w:t>)</w:t>
            </w:r>
          </w:p>
        </w:tc>
        <w:tc>
          <w:tcPr>
            <w:tcW w:w="3476" w:type="pct"/>
            <w:gridSpan w:val="8"/>
          </w:tcPr>
          <w:p w14:paraId="3996590F" w14:textId="58ADD7D1" w:rsidR="00FE5A43" w:rsidRPr="00F56869" w:rsidRDefault="00F56869" w:rsidP="00885686">
            <w:pPr>
              <w:spacing w:after="0" w:line="240" w:lineRule="auto"/>
              <w:rPr>
                <w:rFonts w:ascii="Times New Roman" w:hAnsi="Times New Roman"/>
                <w:b/>
                <w:bCs/>
                <w:sz w:val="20"/>
                <w:szCs w:val="20"/>
                <w:highlight w:val="yellow"/>
                <w:lang w:val="fr-FR"/>
              </w:rPr>
            </w:pPr>
            <w:r>
              <w:rPr>
                <w:rFonts w:ascii="Times New Roman" w:hAnsi="Times New Roman"/>
                <w:b/>
                <w:bCs/>
                <w:sz w:val="20"/>
                <w:szCs w:val="20"/>
              </w:rPr>
              <w:t>Raport științific de progres #</w:t>
            </w:r>
            <w:r w:rsidR="00FE5A43" w:rsidRPr="00CE6022">
              <w:rPr>
                <w:rFonts w:ascii="Times New Roman" w:hAnsi="Times New Roman"/>
                <w:b/>
                <w:bCs/>
                <w:sz w:val="20"/>
                <w:szCs w:val="20"/>
              </w:rPr>
              <w:t xml:space="preserve"> </w:t>
            </w:r>
            <w:r w:rsidR="003D1654">
              <w:rPr>
                <w:rFonts w:ascii="Times New Roman" w:hAnsi="Times New Roman"/>
                <w:b/>
                <w:bCs/>
                <w:sz w:val="20"/>
                <w:szCs w:val="20"/>
              </w:rPr>
              <w:t>2/3/4/5/6</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F56869">
              <w:rPr>
                <w:rFonts w:ascii="Times New Roman" w:hAnsi="Times New Roman"/>
                <w:b/>
                <w:bCs/>
                <w:color w:val="4F6228" w:themeColor="accent3" w:themeShade="80"/>
                <w:sz w:val="20"/>
                <w:szCs w:val="20"/>
                <w:lang w:val="fr-FR"/>
              </w:rPr>
              <w:t>Scientific Progress Report #</w:t>
            </w:r>
            <w:r w:rsidR="003D1654">
              <w:rPr>
                <w:rFonts w:ascii="Times New Roman" w:hAnsi="Times New Roman"/>
                <w:b/>
                <w:bCs/>
                <w:color w:val="4F6228" w:themeColor="accent3" w:themeShade="80"/>
                <w:sz w:val="20"/>
                <w:szCs w:val="20"/>
                <w:lang w:val="fr-FR"/>
              </w:rPr>
              <w:t>2/3/4/5/6</w:t>
            </w:r>
          </w:p>
        </w:tc>
      </w:tr>
      <w:tr w:rsidR="00FD0711" w:rsidRPr="00CE6022" w14:paraId="3B211D2A" w14:textId="77777777" w:rsidTr="00CE6022">
        <w:tc>
          <w:tcPr>
            <w:tcW w:w="2169" w:type="pct"/>
            <w:gridSpan w:val="6"/>
          </w:tcPr>
          <w:p w14:paraId="4AB7824E" w14:textId="2CB51936" w:rsidR="00FD0711" w:rsidRPr="00CE6022" w:rsidRDefault="00FD0711" w:rsidP="003F130E">
            <w:pPr>
              <w:spacing w:after="0" w:line="240" w:lineRule="auto"/>
              <w:rPr>
                <w:rFonts w:ascii="Times New Roman" w:hAnsi="Times New Roman"/>
                <w:color w:val="9BBB59" w:themeColor="accent3"/>
                <w:sz w:val="20"/>
                <w:szCs w:val="20"/>
              </w:rPr>
            </w:pPr>
            <w:r w:rsidRPr="004659BE">
              <w:rPr>
                <w:rFonts w:ascii="Times New Roman" w:hAnsi="Times New Roman"/>
                <w:b/>
                <w:bCs/>
                <w:sz w:val="20"/>
                <w:szCs w:val="20"/>
              </w:rPr>
              <w:t>2.2</w:t>
            </w:r>
            <w:r w:rsidR="004659BE" w:rsidRPr="004659BE">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 xml:space="preserve">ilor </w:t>
            </w:r>
            <w:r w:rsidR="00085094" w:rsidRPr="00CE6022">
              <w:rPr>
                <w:rFonts w:ascii="Times New Roman" w:hAnsi="Times New Roman"/>
                <w:color w:val="9BBB59" w:themeColor="accent3"/>
                <w:sz w:val="20"/>
                <w:szCs w:val="20"/>
              </w:rPr>
              <w:t xml:space="preserve">/ </w:t>
            </w:r>
            <w:r w:rsidR="00410F95" w:rsidRPr="00410F95">
              <w:rPr>
                <w:rFonts w:ascii="Times New Roman" w:hAnsi="Times New Roman"/>
                <w:color w:val="4F6228" w:themeColor="accent3" w:themeShade="80"/>
                <w:sz w:val="20"/>
                <w:szCs w:val="20"/>
                <w:lang w:val="en-GB"/>
              </w:rPr>
              <w:t>Activities</w:t>
            </w:r>
            <w:r w:rsidR="00085094" w:rsidRPr="00410F95">
              <w:rPr>
                <w:rFonts w:ascii="Times New Roman" w:hAnsi="Times New Roman"/>
                <w:color w:val="4F6228" w:themeColor="accent3" w:themeShade="80"/>
                <w:sz w:val="20"/>
                <w:szCs w:val="20"/>
                <w:lang w:val="en-GB"/>
              </w:rPr>
              <w:t xml:space="preserve"> holder</w:t>
            </w:r>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4659BE">
            <w:pPr>
              <w:spacing w:after="0" w:line="240" w:lineRule="auto"/>
              <w:ind w:left="340" w:hanging="340"/>
              <w:rPr>
                <w:rFonts w:ascii="Times New Roman" w:hAnsi="Times New Roman"/>
                <w:color w:val="9BBB59" w:themeColor="accent3"/>
                <w:sz w:val="20"/>
                <w:szCs w:val="20"/>
              </w:rPr>
            </w:pPr>
            <w:r w:rsidRPr="004659BE">
              <w:rPr>
                <w:rFonts w:ascii="Times New Roman" w:hAnsi="Times New Roman"/>
                <w:b/>
                <w:bCs/>
                <w:sz w:val="20"/>
                <w:szCs w:val="20"/>
              </w:rPr>
              <w:t>2.</w:t>
            </w:r>
            <w:r w:rsidR="00F11290" w:rsidRPr="004659BE">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 xml:space="preserve">Academic </w:t>
            </w:r>
            <w:proofErr w:type="spellStart"/>
            <w:r w:rsidR="0013302B" w:rsidRPr="00CE6022">
              <w:rPr>
                <w:rFonts w:ascii="Times New Roman" w:hAnsi="Times New Roman"/>
                <w:color w:val="4F6228" w:themeColor="accent3" w:themeShade="80"/>
                <w:sz w:val="20"/>
                <w:szCs w:val="20"/>
              </w:rPr>
              <w:t>year</w:t>
            </w:r>
            <w:proofErr w:type="spellEnd"/>
          </w:p>
        </w:tc>
        <w:tc>
          <w:tcPr>
            <w:tcW w:w="263" w:type="pct"/>
          </w:tcPr>
          <w:p w14:paraId="2D1E475E" w14:textId="5D676316" w:rsidR="00FD0711" w:rsidRPr="00CE6022" w:rsidRDefault="003D1654" w:rsidP="003F130E">
            <w:pPr>
              <w:spacing w:after="0" w:line="240" w:lineRule="auto"/>
              <w:rPr>
                <w:rFonts w:ascii="Times New Roman" w:hAnsi="Times New Roman"/>
                <w:sz w:val="20"/>
                <w:szCs w:val="20"/>
              </w:rPr>
            </w:pPr>
            <w:r>
              <w:rPr>
                <w:rFonts w:ascii="Times New Roman" w:hAnsi="Times New Roman"/>
                <w:sz w:val="20"/>
                <w:szCs w:val="20"/>
              </w:rPr>
              <w:t>2/3/4</w:t>
            </w:r>
          </w:p>
        </w:tc>
        <w:tc>
          <w:tcPr>
            <w:tcW w:w="618" w:type="pct"/>
            <w:gridSpan w:val="3"/>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2B74086F"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r w:rsidR="00F56869">
              <w:rPr>
                <w:rFonts w:ascii="Times New Roman" w:hAnsi="Times New Roman"/>
                <w:sz w:val="20"/>
                <w:szCs w:val="20"/>
              </w:rPr>
              <w:t>I</w:t>
            </w:r>
            <w:r w:rsidR="003D1654">
              <w:rPr>
                <w:rFonts w:ascii="Times New Roman" w:hAnsi="Times New Roman"/>
                <w:sz w:val="20"/>
                <w:szCs w:val="20"/>
              </w:rPr>
              <w:t>I - VIII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proofErr w:type="spellStart"/>
            <w:r w:rsidR="0013302B" w:rsidRPr="00CE6022">
              <w:rPr>
                <w:rFonts w:ascii="Times New Roman" w:hAnsi="Times New Roman"/>
                <w:color w:val="4F6228" w:themeColor="accent3" w:themeShade="80"/>
                <w:sz w:val="20"/>
                <w:szCs w:val="20"/>
              </w:rPr>
              <w:t>Evaluation</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type</w:t>
            </w:r>
            <w:proofErr w:type="spellEnd"/>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42C877B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proofErr w:type="spellStart"/>
            <w:r w:rsidR="00612A61">
              <w:rPr>
                <w:rFonts w:ascii="Times New Roman" w:hAnsi="Times New Roman"/>
                <w:color w:val="4F6228" w:themeColor="accent3" w:themeShade="80"/>
                <w:sz w:val="20"/>
                <w:szCs w:val="20"/>
              </w:rPr>
              <w:t>Subject</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regime</w:t>
            </w:r>
            <w:proofErr w:type="spellEnd"/>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1F40E5" w:rsidRDefault="00204311" w:rsidP="003F130E">
            <w:pPr>
              <w:spacing w:after="0" w:line="240" w:lineRule="auto"/>
              <w:rPr>
                <w:rFonts w:ascii="Times New Roman" w:hAnsi="Times New Roman"/>
                <w:color w:val="9BBB59" w:themeColor="accent3"/>
                <w:spacing w:val="-4"/>
                <w:sz w:val="20"/>
                <w:szCs w:val="20"/>
              </w:rPr>
            </w:pPr>
            <w:r w:rsidRPr="001F40E5">
              <w:rPr>
                <w:rFonts w:ascii="Times New Roman" w:hAnsi="Times New Roman"/>
                <w:b/>
                <w:bCs/>
                <w:spacing w:val="-4"/>
                <w:sz w:val="20"/>
                <w:szCs w:val="20"/>
              </w:rPr>
              <w:t>2.</w:t>
            </w:r>
            <w:r w:rsidR="00F11290" w:rsidRPr="001F40E5">
              <w:rPr>
                <w:rFonts w:ascii="Times New Roman" w:hAnsi="Times New Roman"/>
                <w:b/>
                <w:bCs/>
                <w:spacing w:val="-4"/>
                <w:sz w:val="20"/>
                <w:szCs w:val="20"/>
              </w:rPr>
              <w:t>7.</w:t>
            </w:r>
            <w:r w:rsidRPr="001F40E5">
              <w:rPr>
                <w:rFonts w:ascii="Times New Roman" w:hAnsi="Times New Roman"/>
                <w:spacing w:val="-4"/>
                <w:sz w:val="20"/>
                <w:szCs w:val="20"/>
              </w:rPr>
              <w:t xml:space="preserve"> </w:t>
            </w:r>
            <w:r w:rsidR="00AA5BBD" w:rsidRPr="001F40E5">
              <w:rPr>
                <w:rFonts w:ascii="Times New Roman" w:hAnsi="Times New Roman"/>
                <w:spacing w:val="-4"/>
                <w:sz w:val="20"/>
                <w:szCs w:val="20"/>
              </w:rPr>
              <w:t>Categoria formativă</w:t>
            </w:r>
            <w:r w:rsidR="0013302B" w:rsidRPr="001F40E5">
              <w:rPr>
                <w:rFonts w:ascii="Times New Roman" w:hAnsi="Times New Roman"/>
                <w:color w:val="9BBB59" w:themeColor="accent3"/>
                <w:spacing w:val="-4"/>
                <w:sz w:val="20"/>
                <w:szCs w:val="20"/>
              </w:rPr>
              <w:t xml:space="preserve">/ </w:t>
            </w:r>
            <w:r w:rsidR="00AA5BBD" w:rsidRPr="001F40E5">
              <w:rPr>
                <w:rFonts w:ascii="Times New Roman" w:hAnsi="Times New Roman"/>
                <w:color w:val="4F6228" w:themeColor="accent3" w:themeShade="80"/>
                <w:spacing w:val="-4"/>
                <w:sz w:val="20"/>
                <w:szCs w:val="20"/>
              </w:rPr>
              <w:t xml:space="preserve">Formative </w:t>
            </w:r>
            <w:proofErr w:type="spellStart"/>
            <w:r w:rsidR="00AA5BBD" w:rsidRPr="001F40E5">
              <w:rPr>
                <w:rFonts w:ascii="Times New Roman" w:hAnsi="Times New Roman"/>
                <w:color w:val="4F6228" w:themeColor="accent3" w:themeShade="80"/>
                <w:spacing w:val="-4"/>
                <w:sz w:val="20"/>
                <w:szCs w:val="20"/>
              </w:rPr>
              <w:t>category</w:t>
            </w:r>
            <w:proofErr w:type="spellEnd"/>
          </w:p>
        </w:tc>
        <w:tc>
          <w:tcPr>
            <w:tcW w:w="136" w:type="pct"/>
          </w:tcPr>
          <w:p w14:paraId="03F77098" w14:textId="54B94DA6" w:rsidR="00204311" w:rsidRPr="001F40E5" w:rsidRDefault="00A63F45" w:rsidP="003F130E">
            <w:pPr>
              <w:spacing w:after="0" w:line="240" w:lineRule="auto"/>
              <w:rPr>
                <w:rFonts w:ascii="Times New Roman" w:hAnsi="Times New Roman"/>
                <w:sz w:val="20"/>
                <w:szCs w:val="20"/>
                <w:lang w:val="en-US"/>
              </w:rPr>
            </w:pPr>
            <w:r w:rsidRPr="001F40E5">
              <w:rPr>
                <w:rFonts w:ascii="Times New Roman" w:hAnsi="Times New Roman"/>
                <w:sz w:val="20"/>
                <w:szCs w:val="20"/>
                <w:lang w:val="en-US"/>
              </w:rPr>
              <w:t>S</w:t>
            </w:r>
          </w:p>
        </w:tc>
        <w:tc>
          <w:tcPr>
            <w:tcW w:w="1491" w:type="pct"/>
            <w:gridSpan w:val="3"/>
          </w:tcPr>
          <w:p w14:paraId="46A72287" w14:textId="39AA1FD5" w:rsidR="00204311" w:rsidRPr="002C63CC" w:rsidRDefault="00204311" w:rsidP="003F130E">
            <w:pPr>
              <w:spacing w:after="0" w:line="240" w:lineRule="auto"/>
              <w:rPr>
                <w:rFonts w:ascii="Times New Roman" w:hAnsi="Times New Roman"/>
                <w:color w:val="9BBB59" w:themeColor="accent3"/>
                <w:spacing w:val="-2"/>
                <w:sz w:val="20"/>
                <w:szCs w:val="20"/>
              </w:rPr>
            </w:pPr>
            <w:r w:rsidRPr="002C63CC">
              <w:rPr>
                <w:rFonts w:ascii="Times New Roman" w:hAnsi="Times New Roman"/>
                <w:spacing w:val="-2"/>
                <w:sz w:val="20"/>
                <w:szCs w:val="20"/>
              </w:rPr>
              <w:t>2.</w:t>
            </w:r>
            <w:r w:rsidR="00F11290" w:rsidRPr="002C63CC">
              <w:rPr>
                <w:rFonts w:ascii="Times New Roman" w:hAnsi="Times New Roman"/>
                <w:spacing w:val="-2"/>
                <w:sz w:val="20"/>
                <w:szCs w:val="20"/>
              </w:rPr>
              <w:t>8.</w:t>
            </w:r>
            <w:r w:rsidRPr="002C63CC">
              <w:rPr>
                <w:rFonts w:ascii="Times New Roman" w:hAnsi="Times New Roman"/>
                <w:spacing w:val="-2"/>
                <w:sz w:val="20"/>
                <w:szCs w:val="20"/>
              </w:rPr>
              <w:t xml:space="preserve"> Codul disciplinei</w:t>
            </w:r>
            <w:r w:rsidR="0013302B" w:rsidRPr="002C63CC">
              <w:rPr>
                <w:rFonts w:ascii="Times New Roman" w:hAnsi="Times New Roman"/>
                <w:color w:val="9BBB59" w:themeColor="accent3"/>
                <w:spacing w:val="-2"/>
                <w:sz w:val="20"/>
                <w:szCs w:val="20"/>
              </w:rPr>
              <w:t xml:space="preserve">/ </w:t>
            </w:r>
            <w:proofErr w:type="spellStart"/>
            <w:r w:rsidR="00410F95" w:rsidRPr="002C63CC">
              <w:rPr>
                <w:rFonts w:ascii="Times New Roman" w:hAnsi="Times New Roman"/>
                <w:color w:val="4F6228" w:themeColor="accent3" w:themeShade="80"/>
                <w:spacing w:val="-2"/>
                <w:sz w:val="20"/>
                <w:szCs w:val="20"/>
              </w:rPr>
              <w:t>Subject</w:t>
            </w:r>
            <w:proofErr w:type="spellEnd"/>
            <w:r w:rsidR="0013302B" w:rsidRPr="002C63CC">
              <w:rPr>
                <w:rFonts w:ascii="Times New Roman" w:hAnsi="Times New Roman"/>
                <w:color w:val="4F6228" w:themeColor="accent3" w:themeShade="80"/>
                <w:spacing w:val="-2"/>
                <w:sz w:val="20"/>
                <w:szCs w:val="20"/>
              </w:rPr>
              <w:t xml:space="preserve"> code</w:t>
            </w:r>
          </w:p>
        </w:tc>
        <w:tc>
          <w:tcPr>
            <w:tcW w:w="1681" w:type="pct"/>
            <w:gridSpan w:val="3"/>
          </w:tcPr>
          <w:p w14:paraId="7F83CE32" w14:textId="5DD2203E" w:rsidR="00204311" w:rsidRPr="002C63CC" w:rsidRDefault="005B7E57" w:rsidP="003F130E">
            <w:pPr>
              <w:spacing w:after="0" w:line="240" w:lineRule="auto"/>
              <w:rPr>
                <w:rFonts w:ascii="Times New Roman" w:hAnsi="Times New Roman"/>
                <w:sz w:val="20"/>
                <w:szCs w:val="20"/>
              </w:rPr>
            </w:pPr>
            <w:r w:rsidRPr="002C63CC">
              <w:rPr>
                <w:rFonts w:ascii="Times New Roman" w:hAnsi="Times New Roman"/>
                <w:sz w:val="20"/>
                <w:szCs w:val="20"/>
              </w:rPr>
              <w:t>B.L.03.AIASI.1.III.Ob.05</w:t>
            </w:r>
          </w:p>
        </w:tc>
      </w:tr>
    </w:tbl>
    <w:p w14:paraId="2381E712" w14:textId="77777777" w:rsidR="00336F88" w:rsidRPr="00885686" w:rsidRDefault="00336F88" w:rsidP="003F130E">
      <w:pPr>
        <w:spacing w:after="0" w:line="240" w:lineRule="auto"/>
        <w:rPr>
          <w:rFonts w:ascii="Times New Roman" w:hAnsi="Times New Roman"/>
          <w:b/>
          <w:sz w:val="16"/>
          <w:szCs w:val="16"/>
        </w:rPr>
      </w:pPr>
    </w:p>
    <w:p w14:paraId="7DDF2454" w14:textId="0A94EEEC" w:rsidR="00336F88"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3711FA">
        <w:rPr>
          <w:rFonts w:ascii="Times New Roman" w:hAnsi="Times New Roman"/>
          <w:color w:val="4F6228" w:themeColor="accent3" w:themeShade="80"/>
          <w:sz w:val="24"/>
          <w:szCs w:val="24"/>
          <w:lang w:val="en-GB"/>
        </w:rPr>
        <w:t>Total estimated time (hours per semester of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3195BEA0" w:rsidR="00FD0711" w:rsidRPr="00CE6022" w:rsidRDefault="00FD0711" w:rsidP="003F130E">
            <w:pPr>
              <w:spacing w:after="0" w:line="240" w:lineRule="auto"/>
              <w:rPr>
                <w:rFonts w:ascii="Times New Roman" w:hAnsi="Times New Roman"/>
                <w:sz w:val="20"/>
                <w:szCs w:val="20"/>
              </w:rPr>
            </w:pPr>
            <w:r w:rsidRPr="004659BE">
              <w:rPr>
                <w:rFonts w:ascii="Times New Roman" w:hAnsi="Times New Roman"/>
                <w:b/>
                <w:bCs/>
                <w:sz w:val="20"/>
                <w:szCs w:val="20"/>
              </w:rPr>
              <w:t>3.</w:t>
            </w:r>
            <w:r w:rsidR="00336F88" w:rsidRPr="004659BE">
              <w:rPr>
                <w:rFonts w:ascii="Times New Roman" w:hAnsi="Times New Roman"/>
                <w:b/>
                <w:bCs/>
                <w:sz w:val="20"/>
                <w:szCs w:val="20"/>
              </w:rPr>
              <w:t>1</w:t>
            </w:r>
            <w:r w:rsidR="004659BE" w:rsidRPr="004659BE">
              <w:rPr>
                <w:rFonts w:ascii="Times New Roman" w:hAnsi="Times New Roman"/>
                <w:b/>
                <w:bCs/>
                <w:sz w:val="20"/>
                <w:szCs w:val="20"/>
              </w:rPr>
              <w:t>.</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 xml:space="preserve">Total </w:t>
            </w:r>
            <w:proofErr w:type="spellStart"/>
            <w:r w:rsidR="00723DB0" w:rsidRPr="00CE6022">
              <w:rPr>
                <w:rFonts w:ascii="Times New Roman" w:hAnsi="Times New Roman"/>
                <w:color w:val="4F6228" w:themeColor="accent3" w:themeShade="80"/>
                <w:sz w:val="20"/>
                <w:szCs w:val="20"/>
              </w:rPr>
              <w:t>hours</w:t>
            </w:r>
            <w:proofErr w:type="spellEnd"/>
            <w:r w:rsidR="00723DB0" w:rsidRPr="00CE6022">
              <w:rPr>
                <w:rFonts w:ascii="Times New Roman" w:hAnsi="Times New Roman"/>
                <w:color w:val="4F6228" w:themeColor="accent3" w:themeShade="80"/>
                <w:sz w:val="20"/>
                <w:szCs w:val="20"/>
              </w:rPr>
              <w:t xml:space="preserve"> of per </w:t>
            </w:r>
            <w:proofErr w:type="spellStart"/>
            <w:r w:rsidR="00723DB0" w:rsidRPr="00CE6022">
              <w:rPr>
                <w:rFonts w:ascii="Times New Roman" w:hAnsi="Times New Roman"/>
                <w:color w:val="4F6228" w:themeColor="accent3" w:themeShade="80"/>
                <w:sz w:val="20"/>
                <w:szCs w:val="20"/>
              </w:rPr>
              <w:t>semester</w:t>
            </w:r>
            <w:proofErr w:type="spellEnd"/>
          </w:p>
        </w:tc>
        <w:tc>
          <w:tcPr>
            <w:tcW w:w="992" w:type="dxa"/>
            <w:shd w:val="clear" w:color="auto" w:fill="D9D9D9"/>
          </w:tcPr>
          <w:p w14:paraId="0E134E17" w14:textId="536F90BD" w:rsidR="00FD0711" w:rsidRPr="00CE6022" w:rsidRDefault="00410F95" w:rsidP="003F130E">
            <w:pPr>
              <w:spacing w:after="0" w:line="240" w:lineRule="auto"/>
              <w:jc w:val="center"/>
              <w:rPr>
                <w:rFonts w:ascii="Times New Roman" w:hAnsi="Times New Roman"/>
                <w:b/>
                <w:bCs/>
                <w:sz w:val="20"/>
                <w:szCs w:val="20"/>
              </w:rPr>
            </w:pPr>
            <w:r>
              <w:rPr>
                <w:rFonts w:ascii="Times New Roman" w:hAnsi="Times New Roman"/>
                <w:b/>
                <w:bCs/>
                <w:sz w:val="20"/>
                <w:szCs w:val="20"/>
              </w:rPr>
              <w:t>750</w:t>
            </w:r>
          </w:p>
        </w:tc>
      </w:tr>
      <w:tr w:rsidR="00FD0711" w:rsidRPr="00CE6022" w14:paraId="2EF8E713" w14:textId="77777777" w:rsidTr="00CE6022">
        <w:tc>
          <w:tcPr>
            <w:tcW w:w="4673" w:type="dxa"/>
            <w:shd w:val="clear" w:color="auto" w:fill="D9D9D9"/>
          </w:tcPr>
          <w:p w14:paraId="55BC46BF" w14:textId="58BEE01B" w:rsidR="00FD0711" w:rsidRPr="00CE6022" w:rsidRDefault="00FD0711" w:rsidP="003F130E">
            <w:pPr>
              <w:spacing w:after="0" w:line="240" w:lineRule="auto"/>
              <w:rPr>
                <w:rFonts w:ascii="Times New Roman" w:hAnsi="Times New Roman"/>
                <w:sz w:val="20"/>
                <w:szCs w:val="20"/>
              </w:rPr>
            </w:pPr>
            <w:r w:rsidRPr="004659BE">
              <w:rPr>
                <w:rFonts w:ascii="Times New Roman" w:hAnsi="Times New Roman"/>
                <w:b/>
                <w:bCs/>
                <w:sz w:val="20"/>
                <w:szCs w:val="20"/>
              </w:rPr>
              <w:t>3.</w:t>
            </w:r>
            <w:r w:rsidR="00336F88" w:rsidRPr="004659BE">
              <w:rPr>
                <w:rFonts w:ascii="Times New Roman" w:hAnsi="Times New Roman"/>
                <w:b/>
                <w:bCs/>
                <w:sz w:val="20"/>
                <w:szCs w:val="20"/>
              </w:rPr>
              <w:t>2</w:t>
            </w:r>
            <w:r w:rsidR="004659BE" w:rsidRPr="004659BE">
              <w:rPr>
                <w:rFonts w:ascii="Times New Roman" w:hAnsi="Times New Roman"/>
                <w:b/>
                <w:bCs/>
                <w:sz w:val="20"/>
                <w:szCs w:val="20"/>
              </w:rPr>
              <w:t>.</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proofErr w:type="spellStart"/>
            <w:r w:rsidR="00D85A8D" w:rsidRPr="00CE6022">
              <w:rPr>
                <w:rFonts w:ascii="Times New Roman" w:hAnsi="Times New Roman"/>
                <w:color w:val="4F6228" w:themeColor="accent3" w:themeShade="80"/>
                <w:sz w:val="20"/>
                <w:szCs w:val="20"/>
              </w:rPr>
              <w:t>Number</w:t>
            </w:r>
            <w:proofErr w:type="spellEnd"/>
            <w:r w:rsidR="00D85A8D" w:rsidRPr="00CE6022">
              <w:rPr>
                <w:rFonts w:ascii="Times New Roman" w:hAnsi="Times New Roman"/>
                <w:color w:val="4F6228" w:themeColor="accent3" w:themeShade="80"/>
                <w:sz w:val="20"/>
                <w:szCs w:val="20"/>
              </w:rPr>
              <w:t xml:space="preserve"> of ECTS</w:t>
            </w:r>
          </w:p>
        </w:tc>
        <w:tc>
          <w:tcPr>
            <w:tcW w:w="992" w:type="dxa"/>
            <w:shd w:val="clear" w:color="auto" w:fill="D9D9D9"/>
          </w:tcPr>
          <w:p w14:paraId="32F2FDA1" w14:textId="40E54C7E" w:rsidR="00FD0711" w:rsidRPr="00CE6022" w:rsidRDefault="00F56869" w:rsidP="003F130E">
            <w:pPr>
              <w:spacing w:after="0" w:line="240" w:lineRule="auto"/>
              <w:jc w:val="center"/>
              <w:rPr>
                <w:rFonts w:ascii="Times New Roman" w:hAnsi="Times New Roman"/>
                <w:b/>
                <w:bCs/>
                <w:sz w:val="20"/>
                <w:szCs w:val="20"/>
              </w:rPr>
            </w:pPr>
            <w:r>
              <w:rPr>
                <w:rFonts w:ascii="Times New Roman" w:hAnsi="Times New Roman"/>
                <w:b/>
                <w:bCs/>
                <w:sz w:val="20"/>
                <w:szCs w:val="20"/>
              </w:rPr>
              <w:t>30</w:t>
            </w:r>
          </w:p>
        </w:tc>
      </w:tr>
    </w:tbl>
    <w:p w14:paraId="60F15865" w14:textId="77777777" w:rsidR="000B3BD0" w:rsidRPr="00885686" w:rsidRDefault="000B3BD0" w:rsidP="003F130E">
      <w:pPr>
        <w:spacing w:after="0" w:line="240" w:lineRule="auto"/>
        <w:rPr>
          <w:rFonts w:ascii="Times New Roman" w:hAnsi="Times New Roman"/>
          <w:b/>
          <w:sz w:val="16"/>
          <w:szCs w:val="16"/>
        </w:rPr>
      </w:pPr>
    </w:p>
    <w:p w14:paraId="4080BC5C" w14:textId="1B96C7A2" w:rsidR="00FD0711" w:rsidRPr="003711FA"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3711FA">
        <w:rPr>
          <w:rFonts w:ascii="Times New Roman" w:hAnsi="Times New Roman"/>
          <w:color w:val="4F6228" w:themeColor="accent3" w:themeShade="80"/>
          <w:sz w:val="24"/>
          <w:szCs w:val="24"/>
          <w:lang w:val="en-GB"/>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2DA85FCD" w:rsidR="00B609FA" w:rsidRPr="00CE6022" w:rsidRDefault="00B609FA" w:rsidP="004659BE">
            <w:pPr>
              <w:ind w:left="340" w:hanging="340"/>
              <w:rPr>
                <w:rFonts w:ascii="Times New Roman" w:hAnsi="Times New Roman"/>
                <w:highlight w:val="yellow"/>
              </w:rPr>
            </w:pPr>
            <w:r w:rsidRPr="004659BE">
              <w:rPr>
                <w:rFonts w:ascii="Times New Roman" w:hAnsi="Times New Roman"/>
                <w:b/>
                <w:bCs/>
              </w:rPr>
              <w:t>4.1</w:t>
            </w:r>
            <w:r w:rsidR="004659BE" w:rsidRPr="004659BE">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39E3554A" w:rsidR="00B609FA" w:rsidRPr="00323897" w:rsidRDefault="00F56869" w:rsidP="003F130E">
            <w:pPr>
              <w:rPr>
                <w:rFonts w:ascii="Times New Roman" w:hAnsi="Times New Roman"/>
              </w:rPr>
            </w:pPr>
            <w:r>
              <w:rPr>
                <w:rFonts w:ascii="Times New Roman" w:hAnsi="Times New Roman"/>
              </w:rPr>
              <w:t>Promovarea celor trei discipline generale</w:t>
            </w:r>
            <w:r w:rsidR="003D1654">
              <w:rPr>
                <w:rFonts w:ascii="Times New Roman" w:hAnsi="Times New Roman"/>
              </w:rPr>
              <w:t xml:space="preserve">, </w:t>
            </w:r>
            <w:r>
              <w:rPr>
                <w:rFonts w:ascii="Times New Roman" w:hAnsi="Times New Roman"/>
              </w:rPr>
              <w:t>a celor două discipline de specialitate</w:t>
            </w:r>
            <w:r w:rsidR="003D1654">
              <w:rPr>
                <w:rFonts w:ascii="Times New Roman" w:hAnsi="Times New Roman"/>
              </w:rPr>
              <w:t xml:space="preserve"> și a rapoartelor științifice anterioare</w:t>
            </w:r>
            <w:r w:rsidR="00323897">
              <w:rPr>
                <w:rFonts w:ascii="Times New Roman" w:hAnsi="Times New Roman"/>
              </w:rPr>
              <w:t>/</w:t>
            </w:r>
            <w:r w:rsidR="00323897">
              <w:t xml:space="preserve"> </w:t>
            </w:r>
            <w:r w:rsidRPr="00F56869">
              <w:rPr>
                <w:rFonts w:ascii="Times New Roman" w:hAnsi="Times New Roman"/>
                <w:color w:val="4F6228" w:themeColor="accent3" w:themeShade="80"/>
                <w:lang w:val="en-GB"/>
              </w:rPr>
              <w:t>Passing the three general disciplines</w:t>
            </w:r>
            <w:r w:rsidR="003D1654">
              <w:rPr>
                <w:rFonts w:ascii="Times New Roman" w:hAnsi="Times New Roman"/>
                <w:color w:val="4F6228" w:themeColor="accent3" w:themeShade="80"/>
                <w:lang w:val="en-GB"/>
              </w:rPr>
              <w:t>,</w:t>
            </w:r>
            <w:r w:rsidRPr="00F56869">
              <w:rPr>
                <w:rFonts w:ascii="Times New Roman" w:hAnsi="Times New Roman"/>
                <w:color w:val="4F6228" w:themeColor="accent3" w:themeShade="80"/>
                <w:lang w:val="en-GB"/>
              </w:rPr>
              <w:t xml:space="preserve"> the two specialized disciplines</w:t>
            </w:r>
            <w:r w:rsidR="003D1654">
              <w:rPr>
                <w:rFonts w:ascii="Times New Roman" w:hAnsi="Times New Roman"/>
                <w:color w:val="4F6228" w:themeColor="accent3" w:themeShade="80"/>
                <w:lang w:val="en-GB"/>
              </w:rPr>
              <w:t xml:space="preserve"> and previous scientific reports</w:t>
            </w:r>
          </w:p>
        </w:tc>
      </w:tr>
      <w:tr w:rsidR="00B609FA" w:rsidRPr="00CE6022" w14:paraId="2114D3A9" w14:textId="77777777" w:rsidTr="00323897">
        <w:tc>
          <w:tcPr>
            <w:tcW w:w="2972" w:type="dxa"/>
          </w:tcPr>
          <w:p w14:paraId="05FE3232" w14:textId="2F6FF5D8" w:rsidR="00B609FA" w:rsidRPr="00CE6022" w:rsidRDefault="00B609FA" w:rsidP="004659BE">
            <w:pPr>
              <w:ind w:left="340" w:hanging="340"/>
              <w:rPr>
                <w:rFonts w:ascii="Times New Roman" w:hAnsi="Times New Roman"/>
              </w:rPr>
            </w:pPr>
            <w:r w:rsidRPr="004659BE">
              <w:rPr>
                <w:rFonts w:ascii="Times New Roman" w:hAnsi="Times New Roman"/>
                <w:b/>
                <w:bCs/>
              </w:rPr>
              <w:t>4.2</w:t>
            </w:r>
            <w:r w:rsidR="004659BE" w:rsidRPr="004659BE">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 xml:space="preserve">for learning </w:t>
            </w:r>
            <w:proofErr w:type="spellStart"/>
            <w:r w:rsidR="00F77194" w:rsidRPr="00CE6022">
              <w:rPr>
                <w:rFonts w:ascii="Times New Roman" w:hAnsi="Times New Roman"/>
                <w:color w:val="4F6228" w:themeColor="accent3" w:themeShade="80"/>
              </w:rPr>
              <w:t>outcomes</w:t>
            </w:r>
            <w:proofErr w:type="spellEnd"/>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323897">
              <w:rPr>
                <w:rFonts w:ascii="Times New Roman" w:hAnsi="Times New Roman"/>
                <w:color w:val="4F6228" w:themeColor="accent3" w:themeShade="80"/>
                <w:lang w:val="en-GB"/>
              </w:rPr>
              <w:t>The doctoral student must possess learning outcomes/</w:t>
            </w:r>
            <w:r>
              <w:rPr>
                <w:rFonts w:ascii="Times New Roman" w:hAnsi="Times New Roman"/>
                <w:color w:val="4F6228" w:themeColor="accent3" w:themeShade="80"/>
                <w:lang w:val="en-GB"/>
              </w:rPr>
              <w:t xml:space="preserve"> </w:t>
            </w:r>
            <w:r w:rsidRPr="00323897">
              <w:rPr>
                <w:rFonts w:ascii="Times New Roman" w:hAnsi="Times New Roman"/>
                <w:color w:val="4F6228" w:themeColor="accent3" w:themeShade="80"/>
                <w:lang w:val="en-GB"/>
              </w:rPr>
              <w:t>competences at EQF/CNC level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1FFC16C5" w:rsidR="00FD0711" w:rsidRPr="003711FA"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 xml:space="preserve">ilor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3711FA">
        <w:rPr>
          <w:rFonts w:ascii="Times New Roman" w:hAnsi="Times New Roman"/>
          <w:color w:val="4F6228" w:themeColor="accent3" w:themeShade="80"/>
          <w:sz w:val="24"/>
          <w:szCs w:val="24"/>
          <w:lang w:val="en-GB"/>
        </w:rPr>
        <w:t>Necessary conditions for the optimal performance of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1A84D853" w:rsidR="00FD0711" w:rsidRPr="003F130E"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5.1</w:t>
            </w:r>
            <w:r w:rsidR="004659BE" w:rsidRPr="004659BE">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 xml:space="preserve">de desfășurare a </w:t>
            </w:r>
            <w:r w:rsidR="00612A61">
              <w:rPr>
                <w:rFonts w:ascii="Times New Roman" w:hAnsi="Times New Roman"/>
                <w:sz w:val="20"/>
                <w:szCs w:val="20"/>
              </w:rPr>
              <w:t>disciplinei</w:t>
            </w:r>
            <w:r w:rsidR="00A1304B" w:rsidRPr="003F130E">
              <w:rPr>
                <w:rFonts w:ascii="Times New Roman" w:hAnsi="Times New Roman"/>
                <w:color w:val="9BBB59" w:themeColor="accent3"/>
                <w:sz w:val="20"/>
                <w:szCs w:val="20"/>
              </w:rPr>
              <w:t xml:space="preserve">/ </w:t>
            </w:r>
            <w:r w:rsidR="00A1304B" w:rsidRPr="003F130E">
              <w:rPr>
                <w:rFonts w:ascii="Times New Roman" w:hAnsi="Times New Roman"/>
                <w:color w:val="4F6228" w:themeColor="accent3" w:themeShade="80"/>
                <w:sz w:val="20"/>
                <w:szCs w:val="20"/>
              </w:rPr>
              <w:t xml:space="preserve">for </w:t>
            </w:r>
            <w:r w:rsidR="00A1304B" w:rsidRPr="004659BE">
              <w:rPr>
                <w:rFonts w:ascii="Times New Roman" w:hAnsi="Times New Roman"/>
                <w:color w:val="4F6228" w:themeColor="accent3" w:themeShade="80"/>
                <w:sz w:val="20"/>
                <w:szCs w:val="20"/>
                <w:lang w:val="en-GB"/>
              </w:rPr>
              <w:t xml:space="preserve">the </w:t>
            </w:r>
            <w:r w:rsidR="00612A61">
              <w:rPr>
                <w:rFonts w:ascii="Times New Roman" w:hAnsi="Times New Roman"/>
                <w:color w:val="4F6228" w:themeColor="accent3" w:themeShade="80"/>
                <w:sz w:val="20"/>
                <w:szCs w:val="20"/>
                <w:lang w:val="en-GB"/>
              </w:rPr>
              <w:t>subject</w:t>
            </w:r>
          </w:p>
        </w:tc>
        <w:tc>
          <w:tcPr>
            <w:tcW w:w="7484" w:type="dxa"/>
          </w:tcPr>
          <w:p w14:paraId="3202D18E" w14:textId="053D07BB"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885686" w:rsidRDefault="00FD0711" w:rsidP="00885686">
      <w:pPr>
        <w:spacing w:after="0" w:line="240" w:lineRule="auto"/>
        <w:rPr>
          <w:rFonts w:ascii="Times New Roman" w:hAnsi="Times New Roman"/>
          <w:sz w:val="16"/>
          <w:szCs w:val="16"/>
        </w:rPr>
      </w:pPr>
    </w:p>
    <w:p w14:paraId="0F1EE6D9" w14:textId="0394C0FD" w:rsidR="00D31C96" w:rsidRPr="004659BE" w:rsidRDefault="00D31C96" w:rsidP="003F130E">
      <w:pPr>
        <w:spacing w:after="0" w:line="240" w:lineRule="auto"/>
        <w:jc w:val="both"/>
        <w:rPr>
          <w:rFonts w:ascii="Times New Roman" w:hAnsi="Times New Roman"/>
          <w:b/>
          <w:sz w:val="24"/>
          <w:szCs w:val="24"/>
          <w:lang w:val="en-GB"/>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4659BE">
        <w:rPr>
          <w:rFonts w:ascii="Times New Roman" w:hAnsi="Times New Roman"/>
          <w:b/>
          <w:color w:val="4F6228" w:themeColor="accent3" w:themeShade="80"/>
          <w:sz w:val="24"/>
          <w:szCs w:val="24"/>
          <w:lang w:val="en-GB"/>
        </w:rPr>
        <w:t xml:space="preserve">General objective of the </w:t>
      </w:r>
      <w:r w:rsidR="00A55B5E" w:rsidRPr="004659BE">
        <w:rPr>
          <w:rFonts w:ascii="Times New Roman" w:hAnsi="Times New Roman"/>
          <w:b/>
          <w:color w:val="4F6228" w:themeColor="accent3" w:themeShade="80"/>
          <w:sz w:val="24"/>
          <w:szCs w:val="24"/>
          <w:lang w:val="en-GB"/>
        </w:rPr>
        <w:t>Scientific Report</w:t>
      </w:r>
    </w:p>
    <w:p w14:paraId="530DDF85" w14:textId="61752742" w:rsidR="009B0688" w:rsidRPr="003D1654" w:rsidRDefault="003D1654" w:rsidP="003F130E">
      <w:pPr>
        <w:spacing w:after="0" w:line="240" w:lineRule="auto"/>
        <w:ind w:firstLine="708"/>
        <w:jc w:val="both"/>
        <w:rPr>
          <w:rFonts w:ascii="Times New Roman" w:hAnsi="Times New Roman"/>
          <w:spacing w:val="-2"/>
          <w:sz w:val="24"/>
          <w:szCs w:val="24"/>
        </w:rPr>
      </w:pPr>
      <w:bookmarkStart w:id="0" w:name="_Hlk139278969"/>
      <w:r w:rsidRPr="003D1654">
        <w:rPr>
          <w:rFonts w:ascii="Times New Roman" w:hAnsi="Times New Roman"/>
          <w:b/>
          <w:bCs/>
          <w:spacing w:val="-2"/>
          <w:sz w:val="24"/>
          <w:szCs w:val="24"/>
        </w:rPr>
        <w:t>Obiectivul general al rapoartelor științifice intermediare</w:t>
      </w:r>
      <w:r w:rsidRPr="003D1654">
        <w:rPr>
          <w:rFonts w:ascii="Times New Roman" w:hAnsi="Times New Roman"/>
          <w:spacing w:val="-2"/>
          <w:sz w:val="24"/>
          <w:szCs w:val="24"/>
        </w:rPr>
        <w:t xml:space="preserve"> </w:t>
      </w:r>
      <w:r>
        <w:rPr>
          <w:rFonts w:ascii="Times New Roman" w:hAnsi="Times New Roman"/>
          <w:spacing w:val="-2"/>
          <w:sz w:val="24"/>
          <w:szCs w:val="24"/>
        </w:rPr>
        <w:t xml:space="preserve">( 2 – 6) </w:t>
      </w:r>
      <w:r w:rsidRPr="003D1654">
        <w:rPr>
          <w:rFonts w:ascii="Times New Roman" w:hAnsi="Times New Roman"/>
          <w:spacing w:val="-2"/>
          <w:sz w:val="24"/>
          <w:szCs w:val="24"/>
        </w:rPr>
        <w:t>este de a documenta și evalua critic dezvoltarea progresivă a contribuțiilor teoretice și experimentale proprii ale doctorandului, în baza direcțiilor de cercetare definite în primul raport. Aceste rapoarte urmăresc prezentarea rafinării ipotezelor de cercetare, a elaborării și validării metodologiilor utilizate, precum și analiza sistematică a rezultatelor intermediare, cu raportarea constantă la stadiul actual al cercetării internaționale</w:t>
      </w:r>
      <w:r>
        <w:rPr>
          <w:rFonts w:ascii="Times New Roman" w:hAnsi="Times New Roman"/>
          <w:spacing w:val="-2"/>
          <w:sz w:val="24"/>
          <w:szCs w:val="24"/>
        </w:rPr>
        <w:t xml:space="preserve"> care po</w:t>
      </w:r>
      <w:r w:rsidR="007030AD">
        <w:rPr>
          <w:rFonts w:ascii="Times New Roman" w:hAnsi="Times New Roman"/>
          <w:spacing w:val="-2"/>
          <w:sz w:val="24"/>
          <w:szCs w:val="24"/>
        </w:rPr>
        <w:t>ate</w:t>
      </w:r>
      <w:r>
        <w:rPr>
          <w:rFonts w:ascii="Times New Roman" w:hAnsi="Times New Roman"/>
          <w:spacing w:val="-2"/>
          <w:sz w:val="24"/>
          <w:szCs w:val="24"/>
        </w:rPr>
        <w:t xml:space="preserve"> avea o dinamică accentuată</w:t>
      </w:r>
      <w:r w:rsidRPr="003D1654">
        <w:rPr>
          <w:rFonts w:ascii="Times New Roman" w:hAnsi="Times New Roman"/>
          <w:spacing w:val="-2"/>
          <w:sz w:val="24"/>
          <w:szCs w:val="24"/>
        </w:rPr>
        <w:t xml:space="preserve">. Totodată, rapoartele vizează evaluarea coerenței științifice, a gradului de originalitate și reproductibilitate a abordărilor propuse, </w:t>
      </w:r>
      <w:r>
        <w:rPr>
          <w:rFonts w:ascii="Times New Roman" w:hAnsi="Times New Roman"/>
          <w:spacing w:val="-2"/>
          <w:sz w:val="24"/>
          <w:szCs w:val="24"/>
        </w:rPr>
        <w:t xml:space="preserve">a aspectelor etice, </w:t>
      </w:r>
      <w:r w:rsidRPr="003D1654">
        <w:rPr>
          <w:rFonts w:ascii="Times New Roman" w:hAnsi="Times New Roman"/>
          <w:spacing w:val="-2"/>
          <w:sz w:val="24"/>
          <w:szCs w:val="24"/>
        </w:rPr>
        <w:t>precum și a potențialului de aplicabilitate industrială, asigurând astfel maturizarea și avansarea cumulativă a cercetării doctorale în vederea susținerii tezei de doctorat.</w:t>
      </w:r>
    </w:p>
    <w:bookmarkEnd w:id="0"/>
    <w:p w14:paraId="6579E5FC" w14:textId="388C98C7" w:rsidR="00253624" w:rsidRPr="003D1654" w:rsidRDefault="003D1654" w:rsidP="003F130E">
      <w:pPr>
        <w:spacing w:after="0" w:line="240" w:lineRule="auto"/>
        <w:ind w:firstLine="708"/>
        <w:jc w:val="both"/>
        <w:rPr>
          <w:rFonts w:ascii="Times New Roman" w:hAnsi="Times New Roman"/>
          <w:color w:val="4F6228" w:themeColor="accent3" w:themeShade="80"/>
          <w:sz w:val="24"/>
          <w:szCs w:val="24"/>
          <w:lang w:val="en-GB"/>
        </w:rPr>
      </w:pPr>
      <w:r w:rsidRPr="003D1654">
        <w:rPr>
          <w:rFonts w:ascii="Times New Roman" w:hAnsi="Times New Roman"/>
          <w:b/>
          <w:bCs/>
          <w:color w:val="4F6228" w:themeColor="accent3" w:themeShade="80"/>
          <w:sz w:val="24"/>
          <w:szCs w:val="24"/>
          <w:lang w:val="en-GB"/>
        </w:rPr>
        <w:t>The general objective of the intermediate scientific reports (2–6)</w:t>
      </w:r>
      <w:r w:rsidRPr="003D1654">
        <w:rPr>
          <w:rFonts w:ascii="Times New Roman" w:hAnsi="Times New Roman"/>
          <w:color w:val="4F6228" w:themeColor="accent3" w:themeShade="80"/>
          <w:sz w:val="24"/>
          <w:szCs w:val="24"/>
          <w:lang w:val="en-GB"/>
        </w:rPr>
        <w:t xml:space="preserve"> is to document and critically evaluate the progressive development of the doctoral candidate’s own theoretical and experimental contributions, based on the research directions defined in the first report. These reports aim to present the refinement of research hypotheses, the development and validation of the employed methodologies, as well </w:t>
      </w:r>
      <w:r w:rsidRPr="003D1654">
        <w:rPr>
          <w:rFonts w:ascii="Times New Roman" w:hAnsi="Times New Roman"/>
          <w:color w:val="4F6228" w:themeColor="accent3" w:themeShade="80"/>
          <w:sz w:val="24"/>
          <w:szCs w:val="24"/>
          <w:lang w:val="en-GB"/>
        </w:rPr>
        <w:lastRenderedPageBreak/>
        <w:t xml:space="preserve">as the systematic analysis of intermediate results, with continuous reference to the current state of international research, which may exhibit significant dynamics. Furthermore, the reports seek to assess the scientific coherence, degree of originality and reproducibility of the proposed approaches, ethical considerations, and potential for industrial applicability, thereby ensuring the maturation and cumulative advancement of the doctoral research toward the </w:t>
      </w:r>
      <w:r w:rsidRPr="004659BE">
        <w:rPr>
          <w:rFonts w:ascii="Times New Roman" w:hAnsi="Times New Roman"/>
          <w:color w:val="4F6228" w:themeColor="accent3" w:themeShade="80"/>
          <w:sz w:val="24"/>
          <w:szCs w:val="24"/>
          <w:lang w:val="en-US"/>
        </w:rPr>
        <w:t xml:space="preserve">defense </w:t>
      </w:r>
      <w:r w:rsidRPr="003D1654">
        <w:rPr>
          <w:rFonts w:ascii="Times New Roman" w:hAnsi="Times New Roman"/>
          <w:color w:val="4F6228" w:themeColor="accent3" w:themeShade="80"/>
          <w:sz w:val="24"/>
          <w:szCs w:val="24"/>
          <w:lang w:val="en-GB"/>
        </w:rPr>
        <w:t>of the doctoral thesis.</w:t>
      </w:r>
    </w:p>
    <w:p w14:paraId="0D4011B5" w14:textId="77777777" w:rsidR="000B3BD0" w:rsidRPr="00885686" w:rsidRDefault="000B3BD0" w:rsidP="003F130E">
      <w:pPr>
        <w:spacing w:after="0" w:line="240" w:lineRule="auto"/>
        <w:jc w:val="both"/>
        <w:rPr>
          <w:rFonts w:ascii="Times New Roman" w:hAnsi="Times New Roman"/>
          <w:b/>
          <w:sz w:val="16"/>
          <w:szCs w:val="16"/>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3F130E">
        <w:rPr>
          <w:rFonts w:ascii="Times New Roman" w:hAnsi="Times New Roman"/>
          <w:b/>
          <w:color w:val="9BBB59" w:themeColor="accent3"/>
          <w:sz w:val="24"/>
          <w:szCs w:val="24"/>
        </w:rPr>
        <w:t xml:space="preserve">/ </w:t>
      </w:r>
      <w:r w:rsidR="009739F4" w:rsidRPr="004659BE">
        <w:rPr>
          <w:rFonts w:ascii="Times New Roman" w:hAnsi="Times New Roman"/>
          <w:b/>
          <w:color w:val="4F6228" w:themeColor="accent3" w:themeShade="80"/>
          <w:sz w:val="24"/>
          <w:szCs w:val="24"/>
          <w:lang w:val="en-GB"/>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72E448CE"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Doctorandul/Doctorul cunoaște și poate integra teorii avansate și modele științifice din producție, sisteme industriale, optimizare și inginerie sistemică</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knows and can integrate advanced theories and scientific models in production, industrial systems, optimization and systems engineering</w:t>
            </w:r>
            <w:r w:rsidRPr="003F130E">
              <w:rPr>
                <w:rFonts w:ascii="Times New Roman" w:hAnsi="Times New Roman"/>
                <w:sz w:val="20"/>
                <w:szCs w:val="20"/>
              </w:rPr>
              <w:t>.</w:t>
            </w:r>
          </w:p>
          <w:p w14:paraId="10A000CE" w14:textId="6BCF3CE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a deep understanding of methods for integrating emerging technologies (e.g. Industry 4.0/5.0, digital twins, cyber-physical systems, applied artificial intelligence) into innovative solutions for complex industrial systems</w:t>
            </w:r>
            <w:r w:rsidRPr="003F130E">
              <w:rPr>
                <w:rFonts w:ascii="Times New Roman" w:hAnsi="Times New Roman"/>
                <w:sz w:val="20"/>
                <w:szCs w:val="20"/>
              </w:rPr>
              <w:t>.</w:t>
            </w:r>
          </w:p>
          <w:p w14:paraId="17284BEC" w14:textId="77777777" w:rsidR="00E20BD3" w:rsidRDefault="003F130E" w:rsidP="003F130E">
            <w:pPr>
              <w:spacing w:after="0" w:line="240" w:lineRule="auto"/>
              <w:ind w:left="227" w:hanging="227"/>
              <w:jc w:val="both"/>
              <w:rPr>
                <w:rFonts w:ascii="Times New Roman" w:hAnsi="Times New Roman"/>
                <w:sz w:val="20"/>
                <w:szCs w:val="20"/>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the ability to understand the integration of economic, sustainability and social impact perspectives in the analysis and design of industrial systems</w:t>
            </w:r>
            <w:r w:rsidRPr="003F130E">
              <w:rPr>
                <w:rFonts w:ascii="Times New Roman" w:hAnsi="Times New Roman"/>
                <w:sz w:val="20"/>
                <w:szCs w:val="20"/>
              </w:rPr>
              <w:t>.</w:t>
            </w:r>
          </w:p>
          <w:p w14:paraId="4209C290" w14:textId="73F30BCC" w:rsidR="00E346BC" w:rsidRPr="00687B90" w:rsidRDefault="00687B90" w:rsidP="003F130E">
            <w:pPr>
              <w:spacing w:after="0" w:line="240" w:lineRule="auto"/>
              <w:ind w:left="227" w:hanging="227"/>
              <w:jc w:val="both"/>
              <w:rPr>
                <w:rFonts w:ascii="Times New Roman" w:hAnsi="Times New Roman"/>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are capacitatea de a poziționa critic propria cercetare în contextul cunoașterii internaționale actuale, </w:t>
            </w:r>
            <w:r w:rsidR="00E346BC">
              <w:rPr>
                <w:rFonts w:ascii="Times New Roman" w:hAnsi="Times New Roman"/>
                <w:sz w:val="18"/>
                <w:szCs w:val="18"/>
              </w:rPr>
              <w:t>î</w:t>
            </w:r>
            <w:r w:rsidR="00E346BC" w:rsidRPr="00DC2F39">
              <w:rPr>
                <w:rFonts w:ascii="Times New Roman" w:hAnsi="Times New Roman"/>
                <w:sz w:val="18"/>
                <w:szCs w:val="18"/>
              </w:rPr>
              <w:t>n domeniul inginerie industriala</w:t>
            </w:r>
            <w:r>
              <w:rPr>
                <w:rFonts w:ascii="Times New Roman" w:hAnsi="Times New Roman"/>
                <w:sz w:val="18"/>
                <w:szCs w:val="18"/>
              </w:rPr>
              <w:t xml:space="preserve"> / </w:t>
            </w:r>
            <w:r w:rsidRPr="00687B90">
              <w:rPr>
                <w:rFonts w:ascii="Times New Roman" w:hAnsi="Times New Roman"/>
                <w:color w:val="4F6228" w:themeColor="accent3" w:themeShade="80"/>
                <w:sz w:val="20"/>
                <w:szCs w:val="20"/>
                <w:lang w:val="en-GB"/>
              </w:rPr>
              <w:t>The PhD student/Doctor has the ability to critically position their own research in the context of current international knowledge, in the field of industrial engineering</w:t>
            </w:r>
            <w:r w:rsidRPr="00687B90">
              <w:rPr>
                <w:rFonts w:ascii="Times New Roman" w:hAnsi="Times New Roman"/>
                <w:sz w:val="18"/>
                <w:szCs w:val="18"/>
                <w:lang w:val="en-GB"/>
              </w:rPr>
              <w:t>.</w:t>
            </w:r>
          </w:p>
          <w:p w14:paraId="373D44E3" w14:textId="38A4F719" w:rsidR="00E346BC" w:rsidRPr="00E346BC"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Doctorandul/Doctorul dovedește cunoștințe avansate și critice de frontieră privind sistemele de producție, ingineria proceselor industriale, optimizarea sistemelor complexe și ingineria sistemică</w:t>
            </w:r>
            <w:r>
              <w:rPr>
                <w:rFonts w:ascii="Times New Roman" w:hAnsi="Times New Roman"/>
                <w:sz w:val="18"/>
                <w:szCs w:val="18"/>
              </w:rPr>
              <w:t xml:space="preserve"> / </w:t>
            </w:r>
            <w:r w:rsidRPr="00687B90">
              <w:rPr>
                <w:rFonts w:ascii="Times New Roman" w:hAnsi="Times New Roman"/>
                <w:color w:val="4F6228" w:themeColor="accent3" w:themeShade="80"/>
                <w:sz w:val="18"/>
                <w:szCs w:val="18"/>
                <w:lang w:val="en-GB"/>
              </w:rPr>
              <w:t>The PhD student/Doctor demonstrates advanced and critical frontier knowledge of production systems, industrial process engineering, complex systems optimization and systemic engineering</w:t>
            </w:r>
            <w:r w:rsidR="00E346BC" w:rsidRPr="00687B90">
              <w:rPr>
                <w:rFonts w:ascii="Times New Roman" w:hAnsi="Times New Roman"/>
                <w:color w:val="4F6228" w:themeColor="accent3" w:themeShade="80"/>
                <w:sz w:val="18"/>
                <w:szCs w:val="18"/>
                <w:lang w:val="en-GB"/>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4659BE">
              <w:rPr>
                <w:rFonts w:ascii="Times New Roman" w:hAnsi="Times New Roman"/>
                <w:b/>
                <w:color w:val="4F6228" w:themeColor="accent3" w:themeShade="80"/>
                <w:sz w:val="20"/>
                <w:szCs w:val="20"/>
                <w:lang w:val="en-GB"/>
              </w:rPr>
              <w:t>Skills</w:t>
            </w:r>
          </w:p>
        </w:tc>
        <w:tc>
          <w:tcPr>
            <w:tcW w:w="9752" w:type="dxa"/>
          </w:tcPr>
          <w:p w14:paraId="5FC645C9" w14:textId="7ED21656"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is able to develop original models and methods for the analysis, design and optimization of complex industrial systems</w:t>
            </w:r>
            <w:r w:rsidR="003F130E" w:rsidRPr="00321F63">
              <w:rPr>
                <w:rFonts w:ascii="Times New Roman" w:hAnsi="Times New Roman"/>
                <w:sz w:val="18"/>
                <w:szCs w:val="18"/>
              </w:rPr>
              <w:t>.</w:t>
            </w:r>
          </w:p>
          <w:p w14:paraId="54701326" w14:textId="0ED3BDB4"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apply and extend advanced methods of simulation, optimization and decision analysis, in real or experimental industrial contexts</w:t>
            </w:r>
            <w:r w:rsidR="003F130E" w:rsidRPr="00321F63">
              <w:rPr>
                <w:rFonts w:ascii="Times New Roman" w:hAnsi="Times New Roman"/>
                <w:sz w:val="18"/>
                <w:szCs w:val="18"/>
              </w:rPr>
              <w:t>.</w:t>
            </w:r>
          </w:p>
          <w:p w14:paraId="0568CECD" w14:textId="77777777" w:rsidR="00241E04"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critically evaluate the performance and impact of their own and/or existing engineering solutions, using technical, economic and sustainability indicators</w:t>
            </w:r>
            <w:r w:rsidR="003F130E" w:rsidRPr="00321F63">
              <w:rPr>
                <w:rFonts w:ascii="Times New Roman" w:hAnsi="Times New Roman"/>
                <w:sz w:val="18"/>
                <w:szCs w:val="18"/>
              </w:rPr>
              <w:t>.</w:t>
            </w:r>
          </w:p>
          <w:p w14:paraId="29893D81" w14:textId="321B7789" w:rsidR="00E346BC" w:rsidRPr="00321F63"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poate disemina rezultatele cercetărilor științifice prin publicare </w:t>
            </w:r>
            <w:r w:rsidR="00E346BC">
              <w:rPr>
                <w:rFonts w:ascii="Times New Roman" w:hAnsi="Times New Roman"/>
                <w:sz w:val="18"/>
                <w:szCs w:val="18"/>
              </w:rPr>
              <w:t>î</w:t>
            </w:r>
            <w:r w:rsidR="00E346BC" w:rsidRPr="00DC2F39">
              <w:rPr>
                <w:rFonts w:ascii="Times New Roman" w:hAnsi="Times New Roman"/>
                <w:sz w:val="18"/>
                <w:szCs w:val="18"/>
              </w:rPr>
              <w:t xml:space="preserve">n jurnale de prestigiu </w:t>
            </w:r>
            <w:r w:rsidR="00E346BC">
              <w:rPr>
                <w:rFonts w:ascii="Times New Roman" w:hAnsi="Times New Roman"/>
                <w:sz w:val="18"/>
                <w:szCs w:val="18"/>
              </w:rPr>
              <w:t>ș</w:t>
            </w:r>
            <w:r w:rsidR="00E346BC" w:rsidRPr="00DC2F39">
              <w:rPr>
                <w:rFonts w:ascii="Times New Roman" w:hAnsi="Times New Roman"/>
                <w:sz w:val="18"/>
                <w:szCs w:val="18"/>
              </w:rPr>
              <w:t>i prin prezentări la conferințe internaționale importante</w:t>
            </w:r>
            <w:r>
              <w:rPr>
                <w:rFonts w:ascii="Times New Roman" w:hAnsi="Times New Roman"/>
                <w:sz w:val="18"/>
                <w:szCs w:val="18"/>
              </w:rPr>
              <w:t xml:space="preserve"> / </w:t>
            </w:r>
            <w:r w:rsidRPr="003724AA">
              <w:rPr>
                <w:rFonts w:ascii="Times New Roman" w:hAnsi="Times New Roman"/>
                <w:color w:val="4F6228" w:themeColor="accent3" w:themeShade="80"/>
                <w:sz w:val="18"/>
                <w:szCs w:val="18"/>
                <w:lang w:val="en-GB"/>
              </w:rPr>
              <w:t>The PhD student/Doctor can disseminate the results of scientific research through publication in prestigious journals and through presentations at important international conferences</w:t>
            </w:r>
            <w:r w:rsidRPr="003724AA">
              <w:rPr>
                <w:rFonts w:ascii="Times New Roman" w:hAnsi="Times New Roman"/>
                <w:color w:val="4F6228" w:themeColor="accent3" w:themeShade="80"/>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r w:rsidR="009C6E3E" w:rsidRPr="001F40E5">
              <w:rPr>
                <w:rFonts w:ascii="Times New Roman" w:hAnsi="Times New Roman"/>
                <w:b/>
                <w:color w:val="4F6228" w:themeColor="accent3" w:themeShade="80"/>
                <w:sz w:val="20"/>
                <w:szCs w:val="20"/>
                <w:lang w:val="fr-FR"/>
              </w:rPr>
              <w:t>Responsibility and autonomy</w:t>
            </w:r>
          </w:p>
        </w:tc>
        <w:tc>
          <w:tcPr>
            <w:tcW w:w="9752" w:type="dxa"/>
          </w:tcPr>
          <w:p w14:paraId="3A5CA718" w14:textId="13584EBF" w:rsid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autonomie în definirea gestionarea strategiilor de cercetare cu aplicare în industria reală și în medii industriale complexe si interdisciplinare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autonomy in defining and managing research strategies with application in real industry and in complex and interdisciplinary industrial environments</w:t>
            </w:r>
            <w:r w:rsidRPr="00DC2F39">
              <w:rPr>
                <w:rFonts w:ascii="Times New Roman" w:hAnsi="Times New Roman"/>
                <w:sz w:val="18"/>
                <w:szCs w:val="18"/>
              </w:rPr>
              <w:t>.</w:t>
            </w:r>
          </w:p>
          <w:p w14:paraId="1D448CBB" w14:textId="2F6F30D2" w:rsidR="00687B90" w:rsidRPr="00DC2F39" w:rsidRDefault="00A26C6B" w:rsidP="00687B90">
            <w:pPr>
              <w:spacing w:after="4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687B90" w:rsidRPr="00DC2F39">
              <w:rPr>
                <w:rFonts w:ascii="Times New Roman" w:hAnsi="Times New Roman"/>
                <w:sz w:val="18"/>
                <w:szCs w:val="18"/>
              </w:rPr>
              <w:t xml:space="preserve">Doctorandul/Doctorul își asuma responsabilitatea profesională </w:t>
            </w:r>
            <w:r w:rsidR="00687B90">
              <w:rPr>
                <w:rFonts w:ascii="Times New Roman" w:hAnsi="Times New Roman"/>
                <w:sz w:val="18"/>
                <w:szCs w:val="18"/>
              </w:rPr>
              <w:t>ș</w:t>
            </w:r>
            <w:r w:rsidR="00687B90" w:rsidRPr="00DC2F39">
              <w:rPr>
                <w:rFonts w:ascii="Times New Roman" w:hAnsi="Times New Roman"/>
                <w:sz w:val="18"/>
                <w:szCs w:val="18"/>
              </w:rPr>
              <w:t>i social</w:t>
            </w:r>
            <w:r w:rsidR="00687B90">
              <w:rPr>
                <w:rFonts w:ascii="Times New Roman" w:hAnsi="Times New Roman"/>
                <w:sz w:val="18"/>
                <w:szCs w:val="18"/>
              </w:rPr>
              <w:t>ă</w:t>
            </w:r>
            <w:r w:rsidR="00687B90" w:rsidRPr="00DC2F39">
              <w:rPr>
                <w:rFonts w:ascii="Times New Roman" w:hAnsi="Times New Roman"/>
                <w:sz w:val="18"/>
                <w:szCs w:val="18"/>
              </w:rPr>
              <w:t xml:space="preserve"> în integrarea rezultatelor cercetării cu cerințele practice ale organizațiilor industriale și sociale </w:t>
            </w:r>
            <w:r w:rsidR="00687B90">
              <w:rPr>
                <w:rFonts w:ascii="Times New Roman" w:hAnsi="Times New Roman"/>
                <w:sz w:val="18"/>
                <w:szCs w:val="18"/>
              </w:rPr>
              <w:t>ș</w:t>
            </w:r>
            <w:r w:rsidR="00687B90" w:rsidRPr="00DC2F39">
              <w:rPr>
                <w:rFonts w:ascii="Times New Roman" w:hAnsi="Times New Roman"/>
                <w:sz w:val="18"/>
                <w:szCs w:val="18"/>
              </w:rPr>
              <w:t>i pentru dezvoltarea sustenabila a acestora</w:t>
            </w:r>
            <w:r w:rsidR="00687B90">
              <w:rPr>
                <w:rFonts w:ascii="Times New Roman" w:hAnsi="Times New Roman"/>
                <w:sz w:val="18"/>
                <w:szCs w:val="18"/>
              </w:rPr>
              <w:t>/</w:t>
            </w:r>
            <w:r w:rsidR="00687B90" w:rsidRPr="00687B90">
              <w:rPr>
                <w:rFonts w:ascii="Times New Roman" w:hAnsi="Times New Roman"/>
                <w:color w:val="4F6228" w:themeColor="accent3" w:themeShade="80"/>
                <w:sz w:val="18"/>
                <w:szCs w:val="18"/>
                <w:lang w:val="en-GB"/>
              </w:rPr>
              <w:t>The PhD student/Doctor assumes professional and social responsibility in integrating research results with the practical requirements of industrial and social organizations and for their sustainable development</w:t>
            </w:r>
            <w:r w:rsidR="00687B90" w:rsidRPr="00687B90">
              <w:rPr>
                <w:rFonts w:ascii="Times New Roman" w:hAnsi="Times New Roman"/>
                <w:sz w:val="18"/>
                <w:szCs w:val="18"/>
              </w:rPr>
              <w:t>.</w:t>
            </w:r>
          </w:p>
          <w:p w14:paraId="31FE008C" w14:textId="3623CA45"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scientific and technological leadership in industrial research projects and collaborations with academic and economic partners by coordinating research and development teams, projects and initiatives</w:t>
            </w:r>
            <w:r w:rsidRPr="00DC2F39">
              <w:rPr>
                <w:rFonts w:ascii="Times New Roman" w:hAnsi="Times New Roman"/>
                <w:sz w:val="18"/>
                <w:szCs w:val="18"/>
              </w:rPr>
              <w:t>.</w:t>
            </w:r>
          </w:p>
          <w:p w14:paraId="418B91E2" w14:textId="00C21C34"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respects the principles of research ethics as well as the ethics of using artificial intelligence systems/applications/agents in research conducted and in the dissemination and exploitation of results</w:t>
            </w:r>
            <w:r w:rsidRPr="00DC2F39">
              <w:rPr>
                <w:rFonts w:ascii="Times New Roman" w:hAnsi="Times New Roman"/>
                <w:sz w:val="18"/>
                <w:szCs w:val="18"/>
              </w:rPr>
              <w:t>.</w:t>
            </w:r>
          </w:p>
          <w:p w14:paraId="4E90C458" w14:textId="34184647" w:rsidR="00EF4811"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885686">
              <w:rPr>
                <w:rFonts w:ascii="Times New Roman" w:hAnsi="Times New Roman"/>
                <w:color w:val="4F6228" w:themeColor="accent3" w:themeShade="80"/>
                <w:spacing w:val="-4"/>
                <w:sz w:val="20"/>
                <w:szCs w:val="20"/>
                <w:lang w:val="en-GB"/>
              </w:rPr>
              <w:t>The PhD student/Doctor assumes responsibility for respecting intellectual property rights in their own research and in the use of research results in the specialized literature, knowing and applying national legislation and international treaties</w:t>
            </w:r>
            <w:r w:rsidRPr="00885686">
              <w:rPr>
                <w:rFonts w:ascii="Times New Roman" w:hAnsi="Times New Roman"/>
                <w:spacing w:val="-4"/>
                <w:sz w:val="18"/>
                <w:szCs w:val="18"/>
              </w:rPr>
              <w:t>.</w:t>
            </w:r>
          </w:p>
        </w:tc>
      </w:tr>
    </w:tbl>
    <w:p w14:paraId="39C237C6" w14:textId="77777777" w:rsidR="00687B90" w:rsidRDefault="00687B90" w:rsidP="00321F63">
      <w:pPr>
        <w:spacing w:after="0" w:line="240" w:lineRule="auto"/>
        <w:rPr>
          <w:rFonts w:ascii="Times New Roman" w:hAnsi="Times New Roman"/>
          <w:sz w:val="24"/>
          <w:szCs w:val="24"/>
          <w:lang w:val="en-GB"/>
        </w:rPr>
      </w:pPr>
    </w:p>
    <w:p w14:paraId="79E7E808" w14:textId="57C3A593" w:rsidR="00A1200D" w:rsidRPr="00687B90" w:rsidRDefault="00687B90" w:rsidP="00321F63">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1B4FE6C6" w14:textId="1C517B69" w:rsidR="00687B90" w:rsidRPr="00687B90" w:rsidRDefault="003D1654" w:rsidP="00687B90">
      <w:pPr>
        <w:spacing w:after="0" w:line="240" w:lineRule="auto"/>
        <w:jc w:val="both"/>
        <w:rPr>
          <w:rFonts w:ascii="Times New Roman" w:hAnsi="Times New Roman"/>
          <w:color w:val="4F6228" w:themeColor="accent3" w:themeShade="80"/>
          <w:sz w:val="24"/>
          <w:szCs w:val="24"/>
          <w:lang w:val="en-GB"/>
        </w:rPr>
      </w:pPr>
      <w:r w:rsidRPr="003D1654">
        <w:rPr>
          <w:rFonts w:ascii="Times New Roman" w:hAnsi="Times New Roman"/>
          <w:sz w:val="24"/>
          <w:szCs w:val="24"/>
        </w:rPr>
        <w:lastRenderedPageBreak/>
        <w:t>Rapoartele științifice intermediare sintetizează progresul cercetării doctorale, de la rafinarea ipotezelor și metodologiilor până la obținerea și analiza rezultatelor intermediare. Conținutul acestora reflectă poziționarea critică a contribuțiilor proprii față de stadiul actual al cercetării internaționale și relevanța lor științifică și aplicativă</w:t>
      </w:r>
      <w:r w:rsidR="00687B90">
        <w:rPr>
          <w:rFonts w:ascii="Times New Roman" w:hAnsi="Times New Roman"/>
          <w:sz w:val="24"/>
          <w:szCs w:val="24"/>
        </w:rPr>
        <w:t xml:space="preserve">. / </w:t>
      </w:r>
      <w:r w:rsidRPr="003D1654">
        <w:rPr>
          <w:rFonts w:ascii="Times New Roman" w:hAnsi="Times New Roman"/>
          <w:color w:val="4F6228" w:themeColor="accent3" w:themeShade="80"/>
          <w:sz w:val="24"/>
          <w:szCs w:val="24"/>
          <w:lang w:val="en-GB"/>
        </w:rPr>
        <w:t>Inter</w:t>
      </w:r>
      <w:r>
        <w:rPr>
          <w:rFonts w:ascii="Times New Roman" w:hAnsi="Times New Roman"/>
          <w:color w:val="4F6228" w:themeColor="accent3" w:themeShade="80"/>
          <w:sz w:val="24"/>
          <w:szCs w:val="24"/>
          <w:lang w:val="en-GB"/>
        </w:rPr>
        <w:t>mediate</w:t>
      </w:r>
      <w:r w:rsidRPr="003D1654">
        <w:rPr>
          <w:rFonts w:ascii="Times New Roman" w:hAnsi="Times New Roman"/>
          <w:color w:val="4F6228" w:themeColor="accent3" w:themeShade="80"/>
          <w:sz w:val="24"/>
          <w:szCs w:val="24"/>
          <w:lang w:val="en-GB"/>
        </w:rPr>
        <w:t xml:space="preserve"> scientific reports summarize the progress of doctoral research, from the refinement of hypotheses and methodologies to the obtaining and analysis of intermediate results. Their content reflects the critical positioning of one's own contributions in relation to the current state of international research and their scientific and applied relevance.</w:t>
      </w:r>
    </w:p>
    <w:p w14:paraId="365F8B80" w14:textId="27114076" w:rsidR="00687B90" w:rsidRDefault="00687B90" w:rsidP="00321F63">
      <w:pPr>
        <w:spacing w:after="0" w:line="240" w:lineRule="auto"/>
        <w:rPr>
          <w:rFonts w:ascii="Times New Roman" w:hAnsi="Times New Roman"/>
          <w:sz w:val="24"/>
          <w:szCs w:val="24"/>
        </w:rPr>
      </w:pPr>
    </w:p>
    <w:p w14:paraId="215DF16D" w14:textId="5C375AB5" w:rsidR="00687B90" w:rsidRPr="001F40E5" w:rsidRDefault="00687B90" w:rsidP="00321F63">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r w:rsidRPr="001F40E5">
        <w:rPr>
          <w:rFonts w:ascii="Times New Roman" w:hAnsi="Times New Roman"/>
          <w:b/>
          <w:bCs/>
          <w:color w:val="4F6228" w:themeColor="accent3" w:themeShade="80"/>
          <w:sz w:val="24"/>
          <w:szCs w:val="24"/>
        </w:rPr>
        <w:t>Assessment</w:t>
      </w:r>
    </w:p>
    <w:p w14:paraId="4B7AE815" w14:textId="39F58DE6" w:rsidR="00687B90" w:rsidRPr="00486DD2" w:rsidRDefault="00687B90" w:rsidP="00687B90">
      <w:pPr>
        <w:spacing w:after="0" w:line="240" w:lineRule="auto"/>
        <w:jc w:val="both"/>
        <w:rPr>
          <w:rFonts w:ascii="Times New Roman" w:hAnsi="Times New Roman"/>
          <w:color w:val="4F6228" w:themeColor="accent3" w:themeShade="80"/>
          <w:sz w:val="24"/>
          <w:szCs w:val="24"/>
          <w:lang w:val="en-GB"/>
        </w:rPr>
      </w:pPr>
      <w:r>
        <w:rPr>
          <w:rFonts w:ascii="Times New Roman" w:hAnsi="Times New Roman"/>
          <w:sz w:val="24"/>
          <w:szCs w:val="24"/>
        </w:rPr>
        <w:t xml:space="preserve">Evaluarea </w:t>
      </w:r>
      <w:r w:rsidR="00AB166D">
        <w:rPr>
          <w:rFonts w:ascii="Times New Roman" w:hAnsi="Times New Roman"/>
          <w:sz w:val="24"/>
          <w:szCs w:val="24"/>
        </w:rPr>
        <w:t>Rapoartelor</w:t>
      </w:r>
      <w:r>
        <w:rPr>
          <w:rFonts w:ascii="Times New Roman" w:hAnsi="Times New Roman"/>
          <w:sz w:val="24"/>
          <w:szCs w:val="24"/>
        </w:rPr>
        <w:t xml:space="preserve"> științific</w:t>
      </w:r>
      <w:r w:rsidR="00AB166D">
        <w:rPr>
          <w:rFonts w:ascii="Times New Roman" w:hAnsi="Times New Roman"/>
          <w:sz w:val="24"/>
          <w:szCs w:val="24"/>
        </w:rPr>
        <w:t>e</w:t>
      </w:r>
      <w:r>
        <w:rPr>
          <w:rFonts w:ascii="Times New Roman" w:hAnsi="Times New Roman"/>
          <w:sz w:val="24"/>
          <w:szCs w:val="24"/>
        </w:rPr>
        <w:t xml:space="preserve"> de progres se va realiza de către comisia de </w:t>
      </w:r>
      <w:r w:rsidR="00A84BF6">
        <w:rPr>
          <w:rFonts w:ascii="Times New Roman" w:hAnsi="Times New Roman"/>
          <w:sz w:val="24"/>
          <w:szCs w:val="24"/>
        </w:rPr>
        <w:t>îndrumare și integritate</w:t>
      </w:r>
      <w:r>
        <w:rPr>
          <w:rFonts w:ascii="Times New Roman" w:hAnsi="Times New Roman"/>
          <w:sz w:val="24"/>
          <w:szCs w:val="24"/>
        </w:rPr>
        <w:t xml:space="preserve"> prin consens cu următoarele calificative: Nesatisfăcător, Satisfăcător, Bine, Foarte Bine. Raportul științific se consideră promovat daca doctorandul obține calificativele Satisfăcător, Bine, Foarte Bine. </w:t>
      </w:r>
      <w:r w:rsidRPr="00687B90">
        <w:rPr>
          <w:rFonts w:ascii="Times New Roman" w:hAnsi="Times New Roman"/>
          <w:sz w:val="24"/>
          <w:szCs w:val="24"/>
        </w:rPr>
        <w:t xml:space="preserve">În cazul în care doctorandul obține calificativul nesatisfăcător i se va acorda o perioadă de 30 de zile pentru refacerea raportului științific și prezentarea acestuia pentru o </w:t>
      </w:r>
      <w:r>
        <w:rPr>
          <w:rFonts w:ascii="Times New Roman" w:hAnsi="Times New Roman"/>
          <w:sz w:val="24"/>
          <w:szCs w:val="24"/>
        </w:rPr>
        <w:t>nouă</w:t>
      </w:r>
      <w:r w:rsidRPr="00687B90">
        <w:rPr>
          <w:rFonts w:ascii="Times New Roman" w:hAnsi="Times New Roman"/>
          <w:sz w:val="24"/>
          <w:szCs w:val="24"/>
        </w:rPr>
        <w:t xml:space="preserve"> evaluare</w:t>
      </w:r>
      <w:r>
        <w:rPr>
          <w:rFonts w:ascii="Times New Roman" w:hAnsi="Times New Roman"/>
          <w:sz w:val="24"/>
          <w:szCs w:val="24"/>
        </w:rPr>
        <w:t xml:space="preserve">. / </w:t>
      </w:r>
      <w:r w:rsidRPr="00486DD2">
        <w:rPr>
          <w:rFonts w:ascii="Times New Roman" w:hAnsi="Times New Roman"/>
          <w:color w:val="4F6228" w:themeColor="accent3" w:themeShade="80"/>
          <w:sz w:val="24"/>
          <w:szCs w:val="24"/>
          <w:lang w:val="en-GB"/>
        </w:rPr>
        <w:t>The evaluation of the Scientific Progress Report</w:t>
      </w:r>
      <w:r w:rsidR="00AB166D">
        <w:rPr>
          <w:rFonts w:ascii="Times New Roman" w:hAnsi="Times New Roman"/>
          <w:color w:val="4F6228" w:themeColor="accent3" w:themeShade="80"/>
          <w:sz w:val="24"/>
          <w:szCs w:val="24"/>
          <w:lang w:val="en-GB"/>
        </w:rPr>
        <w:t>s</w:t>
      </w:r>
      <w:r w:rsidRPr="00486DD2">
        <w:rPr>
          <w:rFonts w:ascii="Times New Roman" w:hAnsi="Times New Roman"/>
          <w:color w:val="4F6228" w:themeColor="accent3" w:themeShade="80"/>
          <w:sz w:val="24"/>
          <w:szCs w:val="24"/>
          <w:lang w:val="en-GB"/>
        </w:rPr>
        <w:t xml:space="preserve"> will be carried out by the </w:t>
      </w:r>
      <w:r w:rsidR="00A84BF6" w:rsidRPr="00A84BF6">
        <w:rPr>
          <w:rFonts w:ascii="Times New Roman" w:hAnsi="Times New Roman"/>
          <w:color w:val="4F6228" w:themeColor="accent3" w:themeShade="80"/>
          <w:sz w:val="24"/>
          <w:szCs w:val="24"/>
          <w:lang w:val="en-GB"/>
        </w:rPr>
        <w:t xml:space="preserve">guidance and integrity committee </w:t>
      </w:r>
      <w:r w:rsidRPr="00486DD2">
        <w:rPr>
          <w:rFonts w:ascii="Times New Roman" w:hAnsi="Times New Roman"/>
          <w:color w:val="4F6228" w:themeColor="accent3" w:themeShade="80"/>
          <w:sz w:val="24"/>
          <w:szCs w:val="24"/>
          <w:lang w:val="en-GB"/>
        </w:rPr>
        <w:t>by consensus with the following grades: Unsatisfactory, Satisfactory, Good, Very Good. The scientific report is considered passed if the doctoral student obtains the grades Satisfactory, Good, Very Good. If the doctoral student obtains the unsatisfactory grade, he/she will be given a period of 30 days to rewrite the scientific report and submit it for a new evaluation.</w:t>
      </w:r>
    </w:p>
    <w:p w14:paraId="52F03F74" w14:textId="77777777" w:rsidR="00687B90" w:rsidRDefault="00687B90" w:rsidP="00321F63">
      <w:pPr>
        <w:spacing w:after="0" w:line="240" w:lineRule="auto"/>
        <w:rPr>
          <w:rFonts w:ascii="Times New Roman" w:hAnsi="Times New Roman"/>
          <w:sz w:val="24"/>
          <w:szCs w:val="24"/>
        </w:rPr>
      </w:pPr>
    </w:p>
    <w:p w14:paraId="70EECB06" w14:textId="77777777" w:rsidR="00687B90" w:rsidRPr="00687B90" w:rsidRDefault="00687B90"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 xml:space="preserve">Date of </w:t>
            </w:r>
            <w:r w:rsidR="00536B72" w:rsidRPr="00486DD2">
              <w:rPr>
                <w:rFonts w:ascii="Times New Roman" w:hAnsi="Times New Roman"/>
                <w:color w:val="4F6228" w:themeColor="accent3" w:themeShade="80"/>
                <w:sz w:val="24"/>
                <w:szCs w:val="24"/>
                <w:lang w:val="en-GB"/>
              </w:rPr>
              <w:t>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proofErr w:type="spellStart"/>
            <w:r w:rsidRPr="003F130E">
              <w:rPr>
                <w:rFonts w:ascii="Times New Roman" w:hAnsi="Times New Roman"/>
                <w:color w:val="4F6228" w:themeColor="accent3" w:themeShade="80"/>
                <w:sz w:val="24"/>
                <w:szCs w:val="24"/>
              </w:rPr>
              <w:t>Evaluation</w:t>
            </w:r>
            <w:proofErr w:type="spellEnd"/>
            <w:r w:rsidRPr="003F130E">
              <w:rPr>
                <w:rFonts w:ascii="Times New Roman" w:hAnsi="Times New Roman"/>
                <w:color w:val="4F6228" w:themeColor="accent3" w:themeShade="80"/>
                <w:sz w:val="24"/>
                <w:szCs w:val="24"/>
              </w:rPr>
              <w:t xml:space="preserve"> </w:t>
            </w:r>
            <w:proofErr w:type="spellStart"/>
            <w:r w:rsidRPr="003F130E">
              <w:rPr>
                <w:rFonts w:ascii="Times New Roman" w:hAnsi="Times New Roman"/>
                <w:color w:val="4F6228" w:themeColor="accent3" w:themeShade="80"/>
                <w:sz w:val="24"/>
                <w:szCs w:val="24"/>
              </w:rPr>
              <w:t>Committee</w:t>
            </w:r>
            <w:proofErr w:type="spellEnd"/>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w:t>
            </w:r>
            <w:proofErr w:type="spellStart"/>
            <w:r w:rsidRPr="003F130E">
              <w:rPr>
                <w:rFonts w:ascii="Times New Roman" w:hAnsi="Times New Roman"/>
                <w:color w:val="4F6228" w:themeColor="accent3" w:themeShade="80"/>
                <w:sz w:val="24"/>
                <w:szCs w:val="24"/>
              </w:rPr>
              <w:t>approval</w:t>
            </w:r>
            <w:proofErr w:type="spellEnd"/>
            <w:r w:rsidRPr="003F130E">
              <w:rPr>
                <w:rFonts w:ascii="Times New Roman" w:hAnsi="Times New Roman"/>
                <w:color w:val="4F6228" w:themeColor="accent3" w:themeShade="80"/>
                <w:sz w:val="24"/>
                <w:szCs w:val="24"/>
              </w:rPr>
              <w:t xml:space="preserve"> in </w:t>
            </w:r>
            <w:proofErr w:type="spellStart"/>
            <w:r w:rsidRPr="003F130E">
              <w:rPr>
                <w:rFonts w:ascii="Times New Roman" w:hAnsi="Times New Roman"/>
                <w:color w:val="4F6228" w:themeColor="accent3" w:themeShade="80"/>
                <w:sz w:val="24"/>
                <w:szCs w:val="24"/>
              </w:rPr>
              <w:t>the</w:t>
            </w:r>
            <w:proofErr w:type="spellEnd"/>
            <w:r w:rsidRPr="003F130E">
              <w:rPr>
                <w:rFonts w:ascii="Times New Roman" w:hAnsi="Times New Roman"/>
                <w:color w:val="4F6228" w:themeColor="accent3" w:themeShade="80"/>
                <w:sz w:val="24"/>
                <w:szCs w:val="24"/>
              </w:rPr>
              <w:t xml:space="preserve"> </w:t>
            </w:r>
            <w:r w:rsidR="009B1242" w:rsidRPr="003F130E">
              <w:rPr>
                <w:rFonts w:ascii="Times New Roman" w:hAnsi="Times New Roman"/>
                <w:color w:val="4F6228" w:themeColor="accent3" w:themeShade="80"/>
                <w:sz w:val="24"/>
                <w:szCs w:val="24"/>
              </w:rPr>
              <w:t xml:space="preserve">Doctoral </w:t>
            </w:r>
            <w:proofErr w:type="spellStart"/>
            <w:r w:rsidR="009B1242" w:rsidRPr="003F130E">
              <w:rPr>
                <w:rFonts w:ascii="Times New Roman" w:hAnsi="Times New Roman"/>
                <w:color w:val="4F6228" w:themeColor="accent3" w:themeShade="80"/>
                <w:sz w:val="24"/>
                <w:szCs w:val="24"/>
              </w:rPr>
              <w:t>school</w:t>
            </w:r>
            <w:proofErr w:type="spellEnd"/>
            <w:r w:rsidR="009B1242" w:rsidRPr="003F130E">
              <w:rPr>
                <w:rFonts w:ascii="Times New Roman" w:hAnsi="Times New Roman"/>
                <w:color w:val="4F6228" w:themeColor="accent3" w:themeShade="80"/>
                <w:sz w:val="24"/>
                <w:szCs w:val="24"/>
              </w:rPr>
              <w:t xml:space="preserve">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48C69380" w14:textId="77777777" w:rsidR="002C63CC" w:rsidRDefault="002C63CC" w:rsidP="002C63CC">
            <w:pPr>
              <w:rPr>
                <w:rFonts w:ascii="Times New Roman" w:hAnsi="Times New Roman"/>
                <w:sz w:val="24"/>
                <w:szCs w:val="24"/>
              </w:rPr>
            </w:pPr>
            <w:r>
              <w:rPr>
                <w:rFonts w:ascii="Times New Roman" w:hAnsi="Times New Roman"/>
                <w:sz w:val="24"/>
                <w:szCs w:val="24"/>
              </w:rPr>
              <w:t>Prof. univ. dr. 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1"/>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061A" w14:textId="77777777" w:rsidR="00F81B4E" w:rsidRDefault="00F81B4E" w:rsidP="006B0230">
      <w:pPr>
        <w:spacing w:after="0" w:line="240" w:lineRule="auto"/>
      </w:pPr>
      <w:r>
        <w:separator/>
      </w:r>
    </w:p>
  </w:endnote>
  <w:endnote w:type="continuationSeparator" w:id="0">
    <w:p w14:paraId="41C44E72" w14:textId="77777777" w:rsidR="00F81B4E" w:rsidRDefault="00F81B4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3DBF" w14:textId="77777777" w:rsidR="00F81B4E" w:rsidRDefault="00F81B4E" w:rsidP="006B0230">
      <w:pPr>
        <w:spacing w:after="0" w:line="240" w:lineRule="auto"/>
      </w:pPr>
      <w:r>
        <w:separator/>
      </w:r>
    </w:p>
  </w:footnote>
  <w:footnote w:type="continuationSeparator" w:id="0">
    <w:p w14:paraId="6865A758" w14:textId="77777777" w:rsidR="00F81B4E" w:rsidRDefault="00F81B4E"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134"/>
      <w:gridCol w:w="1736"/>
    </w:tblGrid>
    <w:tr w:rsidR="002C63CC" w:rsidRPr="002415D5" w14:paraId="2584DF53" w14:textId="77777777" w:rsidTr="00F24445">
      <w:trPr>
        <w:jc w:val="center"/>
      </w:trPr>
      <w:tc>
        <w:tcPr>
          <w:tcW w:w="1596" w:type="dxa"/>
          <w:vAlign w:val="center"/>
        </w:tcPr>
        <w:p w14:paraId="74D6C20F" w14:textId="77777777" w:rsidR="002C63CC" w:rsidRPr="002415D5" w:rsidRDefault="002C63CC" w:rsidP="002C63CC">
          <w:pPr>
            <w:pStyle w:val="Header"/>
            <w:jc w:val="center"/>
            <w:rPr>
              <w:color w:val="17365D" w:themeColor="text2" w:themeShade="BF"/>
              <w:sz w:val="24"/>
              <w:szCs w:val="24"/>
            </w:rPr>
          </w:pPr>
          <w:r w:rsidRPr="002415D5">
            <w:rPr>
              <w:noProof/>
              <w:color w:val="17365D" w:themeColor="text2" w:themeShade="BF"/>
              <w:sz w:val="24"/>
              <w:szCs w:val="24"/>
            </w:rPr>
            <w:drawing>
              <wp:inline distT="0" distB="0" distL="0" distR="0" wp14:anchorId="7578432C" wp14:editId="21B5EEE4">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242" w:type="dxa"/>
          <w:vAlign w:val="center"/>
        </w:tcPr>
        <w:p w14:paraId="6DDFB740" w14:textId="77777777" w:rsidR="002C63CC" w:rsidRPr="002415D5" w:rsidRDefault="002C63CC" w:rsidP="002C63CC">
          <w:pPr>
            <w:pStyle w:val="Header"/>
            <w:jc w:val="center"/>
            <w:rPr>
              <w:color w:val="17365D" w:themeColor="text2" w:themeShade="BF"/>
              <w:sz w:val="24"/>
              <w:szCs w:val="24"/>
            </w:rPr>
          </w:pPr>
        </w:p>
        <w:p w14:paraId="3A86118E" w14:textId="77777777" w:rsidR="002C63CC" w:rsidRPr="002415D5" w:rsidRDefault="002C63CC" w:rsidP="002C63CC">
          <w:pPr>
            <w:pStyle w:val="Header"/>
            <w:jc w:val="center"/>
            <w:rPr>
              <w:rFonts w:ascii="Aptos" w:hAnsi="Aptos"/>
              <w:b/>
              <w:bCs/>
              <w:color w:val="17365D" w:themeColor="text2" w:themeShade="BF"/>
              <w:sz w:val="24"/>
              <w:szCs w:val="24"/>
            </w:rPr>
          </w:pPr>
          <w:r w:rsidRPr="002415D5">
            <w:rPr>
              <w:rFonts w:ascii="Aptos" w:hAnsi="Aptos"/>
              <w:b/>
              <w:bCs/>
              <w:color w:val="17365D" w:themeColor="text2" w:themeShade="BF"/>
              <w:sz w:val="24"/>
              <w:szCs w:val="24"/>
            </w:rPr>
            <w:t>Universitatea Națională de Știință și Tehnologie POLITEHNICA București</w:t>
          </w:r>
        </w:p>
        <w:p w14:paraId="445C3F70" w14:textId="77777777" w:rsidR="002C63CC" w:rsidRPr="002415D5" w:rsidRDefault="002C63CC" w:rsidP="002C63CC">
          <w:pPr>
            <w:pStyle w:val="Header"/>
            <w:jc w:val="center"/>
            <w:rPr>
              <w:color w:val="17365D" w:themeColor="text2" w:themeShade="BF"/>
              <w:sz w:val="24"/>
              <w:szCs w:val="24"/>
            </w:rPr>
          </w:pPr>
          <w:r w:rsidRPr="002415D5">
            <w:rPr>
              <w:rFonts w:ascii="Aptos" w:hAnsi="Aptos"/>
              <w:b/>
              <w:bCs/>
              <w:color w:val="17365D" w:themeColor="text2" w:themeShade="BF"/>
              <w:sz w:val="24"/>
              <w:szCs w:val="24"/>
            </w:rPr>
            <w:t>Școala Doctorală de Antreprenoriat, Ingineria și Managementul Afacerilor</w:t>
          </w:r>
        </w:p>
      </w:tc>
      <w:tc>
        <w:tcPr>
          <w:tcW w:w="1628" w:type="dxa"/>
          <w:vAlign w:val="center"/>
        </w:tcPr>
        <w:p w14:paraId="21FA9723" w14:textId="77777777" w:rsidR="002C63CC" w:rsidRPr="002415D5" w:rsidRDefault="002C63CC" w:rsidP="002C63CC">
          <w:pPr>
            <w:pStyle w:val="Header"/>
            <w:jc w:val="center"/>
            <w:rPr>
              <w:color w:val="17365D" w:themeColor="text2" w:themeShade="BF"/>
              <w:sz w:val="24"/>
              <w:szCs w:val="24"/>
            </w:rPr>
          </w:pPr>
          <w:r w:rsidRPr="002415D5">
            <w:rPr>
              <w:rFonts w:asciiTheme="minorHAnsi" w:hAnsiTheme="minorHAnsi" w:cstheme="minorHAnsi"/>
              <w:noProof/>
              <w:sz w:val="24"/>
              <w:szCs w:val="24"/>
            </w:rPr>
            <w:drawing>
              <wp:inline distT="0" distB="0" distL="0" distR="0" wp14:anchorId="5B9A56B3" wp14:editId="4AFD01DE">
                <wp:extent cx="964800" cy="914400"/>
                <wp:effectExtent l="0" t="0" r="635" b="0"/>
                <wp:docPr id="150609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a:off x="0" y="0"/>
                          <a:ext cx="964800" cy="914400"/>
                        </a:xfrm>
                        <a:prstGeom prst="rect">
                          <a:avLst/>
                        </a:prstGeom>
                      </pic:spPr>
                    </pic:pic>
                  </a:graphicData>
                </a:graphic>
              </wp:inline>
            </w:drawing>
          </w:r>
        </w:p>
      </w:tc>
    </w:tr>
  </w:tbl>
  <w:p w14:paraId="3FFC0D45" w14:textId="7D35512D" w:rsidR="006B0230" w:rsidRDefault="006B0230" w:rsidP="00885686">
    <w:pPr>
      <w:pStyle w:val="Header"/>
      <w:tabs>
        <w:tab w:val="clear" w:pos="4680"/>
        <w:tab w:val="clear" w:pos="9360"/>
        <w:tab w:val="left" w:pos="3583"/>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309E"/>
    <w:rsid w:val="00024FEB"/>
    <w:rsid w:val="00042830"/>
    <w:rsid w:val="0004443B"/>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7CB"/>
    <w:rsid w:val="000E4FBF"/>
    <w:rsid w:val="000F3BE5"/>
    <w:rsid w:val="00101A4C"/>
    <w:rsid w:val="00105203"/>
    <w:rsid w:val="001104F4"/>
    <w:rsid w:val="001177E6"/>
    <w:rsid w:val="0013302B"/>
    <w:rsid w:val="00136B06"/>
    <w:rsid w:val="00140EB3"/>
    <w:rsid w:val="00142A7C"/>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0E5"/>
    <w:rsid w:val="001F4669"/>
    <w:rsid w:val="001F64E5"/>
    <w:rsid w:val="001F661E"/>
    <w:rsid w:val="002037F7"/>
    <w:rsid w:val="00204311"/>
    <w:rsid w:val="0020512B"/>
    <w:rsid w:val="00207A26"/>
    <w:rsid w:val="0021418D"/>
    <w:rsid w:val="00225272"/>
    <w:rsid w:val="00235E38"/>
    <w:rsid w:val="00241E04"/>
    <w:rsid w:val="00246F30"/>
    <w:rsid w:val="002522F4"/>
    <w:rsid w:val="00253624"/>
    <w:rsid w:val="002625B0"/>
    <w:rsid w:val="00267ECC"/>
    <w:rsid w:val="00272719"/>
    <w:rsid w:val="0027455B"/>
    <w:rsid w:val="002812A5"/>
    <w:rsid w:val="00285303"/>
    <w:rsid w:val="00287260"/>
    <w:rsid w:val="00291777"/>
    <w:rsid w:val="00294A50"/>
    <w:rsid w:val="002A0A18"/>
    <w:rsid w:val="002A0FC9"/>
    <w:rsid w:val="002A2A27"/>
    <w:rsid w:val="002B2D67"/>
    <w:rsid w:val="002B4062"/>
    <w:rsid w:val="002C3E30"/>
    <w:rsid w:val="002C5D1B"/>
    <w:rsid w:val="002C63CC"/>
    <w:rsid w:val="002C7828"/>
    <w:rsid w:val="002C7C5A"/>
    <w:rsid w:val="002D5B8A"/>
    <w:rsid w:val="002D606A"/>
    <w:rsid w:val="002E3E12"/>
    <w:rsid w:val="002E5ECA"/>
    <w:rsid w:val="002F0971"/>
    <w:rsid w:val="003039C9"/>
    <w:rsid w:val="003075CA"/>
    <w:rsid w:val="00321F63"/>
    <w:rsid w:val="00323897"/>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711FA"/>
    <w:rsid w:val="003724AA"/>
    <w:rsid w:val="003806E1"/>
    <w:rsid w:val="003A44E3"/>
    <w:rsid w:val="003B55E2"/>
    <w:rsid w:val="003B5A02"/>
    <w:rsid w:val="003B7974"/>
    <w:rsid w:val="003C430C"/>
    <w:rsid w:val="003C6DC8"/>
    <w:rsid w:val="003D0D85"/>
    <w:rsid w:val="003D1654"/>
    <w:rsid w:val="003D1D3B"/>
    <w:rsid w:val="003E4A22"/>
    <w:rsid w:val="003E72A5"/>
    <w:rsid w:val="003E7F77"/>
    <w:rsid w:val="003F130E"/>
    <w:rsid w:val="003F253C"/>
    <w:rsid w:val="003F49D3"/>
    <w:rsid w:val="00405D76"/>
    <w:rsid w:val="00410F95"/>
    <w:rsid w:val="00414517"/>
    <w:rsid w:val="004176A2"/>
    <w:rsid w:val="0042161F"/>
    <w:rsid w:val="00426218"/>
    <w:rsid w:val="0043585E"/>
    <w:rsid w:val="00436AD6"/>
    <w:rsid w:val="00450A21"/>
    <w:rsid w:val="00453037"/>
    <w:rsid w:val="004659BE"/>
    <w:rsid w:val="004662C2"/>
    <w:rsid w:val="004671D0"/>
    <w:rsid w:val="00473190"/>
    <w:rsid w:val="00475A89"/>
    <w:rsid w:val="00486DD2"/>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12A61"/>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B90"/>
    <w:rsid w:val="00690032"/>
    <w:rsid w:val="00696A5C"/>
    <w:rsid w:val="006A175C"/>
    <w:rsid w:val="006B0230"/>
    <w:rsid w:val="006C2433"/>
    <w:rsid w:val="006C452D"/>
    <w:rsid w:val="006D061F"/>
    <w:rsid w:val="006D3895"/>
    <w:rsid w:val="006D4492"/>
    <w:rsid w:val="006E2D3A"/>
    <w:rsid w:val="006E43B5"/>
    <w:rsid w:val="006E4561"/>
    <w:rsid w:val="006E7AB8"/>
    <w:rsid w:val="006F3F6C"/>
    <w:rsid w:val="006F64C6"/>
    <w:rsid w:val="00700487"/>
    <w:rsid w:val="007030A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85686"/>
    <w:rsid w:val="00897094"/>
    <w:rsid w:val="00897E4F"/>
    <w:rsid w:val="008A1E7A"/>
    <w:rsid w:val="008A7114"/>
    <w:rsid w:val="008B4A1F"/>
    <w:rsid w:val="008B5BEA"/>
    <w:rsid w:val="008D1A77"/>
    <w:rsid w:val="008D39CA"/>
    <w:rsid w:val="008D49B5"/>
    <w:rsid w:val="008D7937"/>
    <w:rsid w:val="008E2C2B"/>
    <w:rsid w:val="008E4BB6"/>
    <w:rsid w:val="008E51C6"/>
    <w:rsid w:val="008E5CBA"/>
    <w:rsid w:val="008E6270"/>
    <w:rsid w:val="008F44F6"/>
    <w:rsid w:val="008F48E0"/>
    <w:rsid w:val="008F7D7F"/>
    <w:rsid w:val="009076F4"/>
    <w:rsid w:val="0091383B"/>
    <w:rsid w:val="00916D13"/>
    <w:rsid w:val="00924485"/>
    <w:rsid w:val="00926C0E"/>
    <w:rsid w:val="00930CE9"/>
    <w:rsid w:val="0094747F"/>
    <w:rsid w:val="00947845"/>
    <w:rsid w:val="00962A3E"/>
    <w:rsid w:val="009739F4"/>
    <w:rsid w:val="00975323"/>
    <w:rsid w:val="00994E0F"/>
    <w:rsid w:val="009A162C"/>
    <w:rsid w:val="009A64D0"/>
    <w:rsid w:val="009A7EE8"/>
    <w:rsid w:val="009B0688"/>
    <w:rsid w:val="009B1242"/>
    <w:rsid w:val="009B449A"/>
    <w:rsid w:val="009C1184"/>
    <w:rsid w:val="009C6E3E"/>
    <w:rsid w:val="009E64C2"/>
    <w:rsid w:val="009E6519"/>
    <w:rsid w:val="009F003A"/>
    <w:rsid w:val="009F2776"/>
    <w:rsid w:val="009F3B07"/>
    <w:rsid w:val="00A1200D"/>
    <w:rsid w:val="00A1304B"/>
    <w:rsid w:val="00A13401"/>
    <w:rsid w:val="00A225CE"/>
    <w:rsid w:val="00A22F09"/>
    <w:rsid w:val="00A251A3"/>
    <w:rsid w:val="00A26C6B"/>
    <w:rsid w:val="00A26CB8"/>
    <w:rsid w:val="00A32B38"/>
    <w:rsid w:val="00A343BA"/>
    <w:rsid w:val="00A352F6"/>
    <w:rsid w:val="00A4486F"/>
    <w:rsid w:val="00A45D21"/>
    <w:rsid w:val="00A5014E"/>
    <w:rsid w:val="00A528C7"/>
    <w:rsid w:val="00A55B5E"/>
    <w:rsid w:val="00A637BC"/>
    <w:rsid w:val="00A63F45"/>
    <w:rsid w:val="00A655E6"/>
    <w:rsid w:val="00A72C51"/>
    <w:rsid w:val="00A74205"/>
    <w:rsid w:val="00A76F8E"/>
    <w:rsid w:val="00A77251"/>
    <w:rsid w:val="00A8092B"/>
    <w:rsid w:val="00A84BF6"/>
    <w:rsid w:val="00A93E6C"/>
    <w:rsid w:val="00A94851"/>
    <w:rsid w:val="00A97B4B"/>
    <w:rsid w:val="00AA5BBD"/>
    <w:rsid w:val="00AB166D"/>
    <w:rsid w:val="00AB18CF"/>
    <w:rsid w:val="00AB36EF"/>
    <w:rsid w:val="00AB4BB4"/>
    <w:rsid w:val="00AB549C"/>
    <w:rsid w:val="00AD46A4"/>
    <w:rsid w:val="00AD48B4"/>
    <w:rsid w:val="00AD6760"/>
    <w:rsid w:val="00AE0EFD"/>
    <w:rsid w:val="00B13421"/>
    <w:rsid w:val="00B14EA2"/>
    <w:rsid w:val="00B33D7D"/>
    <w:rsid w:val="00B4650B"/>
    <w:rsid w:val="00B51BDD"/>
    <w:rsid w:val="00B52968"/>
    <w:rsid w:val="00B53C95"/>
    <w:rsid w:val="00B54B49"/>
    <w:rsid w:val="00B559AB"/>
    <w:rsid w:val="00B609FA"/>
    <w:rsid w:val="00B677D0"/>
    <w:rsid w:val="00B7109F"/>
    <w:rsid w:val="00B7391E"/>
    <w:rsid w:val="00B91DB1"/>
    <w:rsid w:val="00B95F96"/>
    <w:rsid w:val="00B96466"/>
    <w:rsid w:val="00B97DD5"/>
    <w:rsid w:val="00BA0EDC"/>
    <w:rsid w:val="00BB50D8"/>
    <w:rsid w:val="00BC246B"/>
    <w:rsid w:val="00BC54CA"/>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545D0"/>
    <w:rsid w:val="00C62788"/>
    <w:rsid w:val="00C62D93"/>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2F9C"/>
    <w:rsid w:val="00D02FE3"/>
    <w:rsid w:val="00D06BD1"/>
    <w:rsid w:val="00D14F4C"/>
    <w:rsid w:val="00D16BC3"/>
    <w:rsid w:val="00D16F17"/>
    <w:rsid w:val="00D25D2D"/>
    <w:rsid w:val="00D26806"/>
    <w:rsid w:val="00D27462"/>
    <w:rsid w:val="00D27F89"/>
    <w:rsid w:val="00D31C96"/>
    <w:rsid w:val="00D3554F"/>
    <w:rsid w:val="00D369A3"/>
    <w:rsid w:val="00D41E43"/>
    <w:rsid w:val="00D434C7"/>
    <w:rsid w:val="00D44690"/>
    <w:rsid w:val="00D455BF"/>
    <w:rsid w:val="00D46EF7"/>
    <w:rsid w:val="00D605BE"/>
    <w:rsid w:val="00D618A9"/>
    <w:rsid w:val="00D651E1"/>
    <w:rsid w:val="00D7773C"/>
    <w:rsid w:val="00D82786"/>
    <w:rsid w:val="00D857C2"/>
    <w:rsid w:val="00D85A8D"/>
    <w:rsid w:val="00D87395"/>
    <w:rsid w:val="00DA433D"/>
    <w:rsid w:val="00DB2E68"/>
    <w:rsid w:val="00DC2572"/>
    <w:rsid w:val="00DC450D"/>
    <w:rsid w:val="00DD2B25"/>
    <w:rsid w:val="00DD532D"/>
    <w:rsid w:val="00DE3F01"/>
    <w:rsid w:val="00DF11DA"/>
    <w:rsid w:val="00DF2EBE"/>
    <w:rsid w:val="00DF4324"/>
    <w:rsid w:val="00DF6ACB"/>
    <w:rsid w:val="00E017F8"/>
    <w:rsid w:val="00E02214"/>
    <w:rsid w:val="00E037F6"/>
    <w:rsid w:val="00E10ACB"/>
    <w:rsid w:val="00E116EB"/>
    <w:rsid w:val="00E1550B"/>
    <w:rsid w:val="00E20BD3"/>
    <w:rsid w:val="00E31041"/>
    <w:rsid w:val="00E3142E"/>
    <w:rsid w:val="00E346BC"/>
    <w:rsid w:val="00E352FA"/>
    <w:rsid w:val="00E437C3"/>
    <w:rsid w:val="00E5213F"/>
    <w:rsid w:val="00E56AA2"/>
    <w:rsid w:val="00E6114C"/>
    <w:rsid w:val="00E70E1A"/>
    <w:rsid w:val="00E71898"/>
    <w:rsid w:val="00E75920"/>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61"/>
    <w:rsid w:val="00EE7EA1"/>
    <w:rsid w:val="00EF2DBE"/>
    <w:rsid w:val="00EF4811"/>
    <w:rsid w:val="00EF61F2"/>
    <w:rsid w:val="00F029C6"/>
    <w:rsid w:val="00F054FF"/>
    <w:rsid w:val="00F10B46"/>
    <w:rsid w:val="00F11290"/>
    <w:rsid w:val="00F12115"/>
    <w:rsid w:val="00F15C49"/>
    <w:rsid w:val="00F232D5"/>
    <w:rsid w:val="00F27495"/>
    <w:rsid w:val="00F31C12"/>
    <w:rsid w:val="00F352DE"/>
    <w:rsid w:val="00F36AE2"/>
    <w:rsid w:val="00F413D2"/>
    <w:rsid w:val="00F43691"/>
    <w:rsid w:val="00F50D8A"/>
    <w:rsid w:val="00F51B11"/>
    <w:rsid w:val="00F56343"/>
    <w:rsid w:val="00F56869"/>
    <w:rsid w:val="00F74C37"/>
    <w:rsid w:val="00F77194"/>
    <w:rsid w:val="00F81B4E"/>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25</cp:revision>
  <dcterms:created xsi:type="dcterms:W3CDTF">2026-01-22T14:13:00Z</dcterms:created>
  <dcterms:modified xsi:type="dcterms:W3CDTF">2026-03-21T14:28:00Z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