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525"/>
        <w:tblW w:w="5000" w:type="pct"/>
        <w:tblLook w:val="04A0" w:firstRow="1" w:lastRow="0" w:firstColumn="1" w:lastColumn="0" w:noHBand="0" w:noVBand="1"/>
      </w:tblPr>
      <w:tblGrid>
        <w:gridCol w:w="1525"/>
        <w:gridCol w:w="8654"/>
      </w:tblGrid>
      <w:tr w:rsidR="00822F86" w:rsidRPr="0082728F" w14:paraId="13A95573" w14:textId="77777777" w:rsidTr="00244622">
        <w:tc>
          <w:tcPr>
            <w:tcW w:w="749" w:type="pct"/>
            <w:shd w:val="clear" w:color="auto" w:fill="auto"/>
            <w:vAlign w:val="center"/>
          </w:tcPr>
          <w:p w14:paraId="166FF466" w14:textId="77777777" w:rsidR="00822F86" w:rsidRPr="00583817" w:rsidRDefault="00822F86" w:rsidP="00A47ADE">
            <w:pPr>
              <w:tabs>
                <w:tab w:val="center" w:pos="4680"/>
                <w:tab w:val="right" w:pos="9360"/>
              </w:tabs>
              <w:spacing w:line="276" w:lineRule="auto"/>
              <w:jc w:val="center"/>
              <w:rPr>
                <w:rFonts w:ascii="Arial" w:hAnsi="Arial" w:cs="Arial"/>
                <w:color w:val="6600CC"/>
                <w:sz w:val="21"/>
                <w:szCs w:val="21"/>
              </w:rPr>
            </w:pPr>
            <w:r>
              <w:rPr>
                <w:rFonts w:ascii="Palatino Linotype" w:hAnsi="Palatino Linotype"/>
                <w:b/>
                <w:noProof/>
                <w:color w:val="002060"/>
                <w:sz w:val="22"/>
                <w:szCs w:val="22"/>
                <w:lang w:val="ro-RO"/>
              </w:rPr>
              <w:drawing>
                <wp:inline distT="0" distB="0" distL="0" distR="0" wp14:anchorId="3A3AA74B" wp14:editId="7730C42E">
                  <wp:extent cx="731520" cy="731520"/>
                  <wp:effectExtent l="0" t="0" r="0" b="0"/>
                  <wp:docPr id="1" name="Picture 1" descr="A blue and white circle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ue and white circle with a building and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4251" w:type="pct"/>
            <w:shd w:val="clear" w:color="auto" w:fill="auto"/>
            <w:vAlign w:val="center"/>
          </w:tcPr>
          <w:p w14:paraId="5FFFA912" w14:textId="77777777" w:rsidR="00822F86" w:rsidRPr="00583817" w:rsidRDefault="00822F86" w:rsidP="00A47ADE">
            <w:pPr>
              <w:tabs>
                <w:tab w:val="left" w:pos="2760"/>
              </w:tabs>
              <w:jc w:val="center"/>
              <w:rPr>
                <w:rFonts w:ascii="Palatino Linotype" w:hAnsi="Palatino Linotype"/>
                <w:b/>
                <w:bCs/>
                <w:color w:val="002060"/>
                <w:sz w:val="22"/>
                <w:szCs w:val="22"/>
                <w:lang w:val="ro-RO"/>
              </w:rPr>
            </w:pPr>
            <w:r w:rsidRPr="00583817">
              <w:rPr>
                <w:rFonts w:ascii="Palatino Linotype" w:hAnsi="Palatino Linotype"/>
                <w:b/>
                <w:bCs/>
                <w:color w:val="002060"/>
                <w:sz w:val="22"/>
                <w:szCs w:val="22"/>
                <w:lang w:val="ro-RO"/>
              </w:rPr>
              <w:t>MINISTERUL EDUCAȚIEI ȘI CERCETĂRII</w:t>
            </w:r>
          </w:p>
          <w:p w14:paraId="6E060455" w14:textId="77777777" w:rsidR="00822F86" w:rsidRPr="00583817" w:rsidRDefault="00822F86" w:rsidP="00A47ADE">
            <w:pPr>
              <w:tabs>
                <w:tab w:val="left" w:pos="2760"/>
                <w:tab w:val="left" w:pos="6663"/>
              </w:tabs>
              <w:jc w:val="center"/>
              <w:rPr>
                <w:rFonts w:ascii="Palatino Linotype" w:hAnsi="Palatino Linotype"/>
                <w:b/>
                <w:bCs/>
                <w:color w:val="002060"/>
                <w:sz w:val="22"/>
                <w:szCs w:val="22"/>
                <w:lang w:val="ro-RO"/>
              </w:rPr>
            </w:pPr>
            <w:r w:rsidRPr="00583817">
              <w:rPr>
                <w:rFonts w:ascii="Palatino Linotype" w:hAnsi="Palatino Linotype"/>
                <w:b/>
                <w:bCs/>
                <w:color w:val="002060"/>
                <w:sz w:val="22"/>
                <w:szCs w:val="22"/>
                <w:lang w:val="ro-RO"/>
              </w:rPr>
              <w:t>UNIVERSITATEA NAȚIONALĂ DE ȘTIINȚĂ ȘI TEHNOLOGIE</w:t>
            </w:r>
          </w:p>
          <w:p w14:paraId="77E12730" w14:textId="77777777" w:rsidR="00822F86" w:rsidRPr="00583817" w:rsidRDefault="00822F86" w:rsidP="00A47ADE">
            <w:pPr>
              <w:tabs>
                <w:tab w:val="center" w:pos="4680"/>
                <w:tab w:val="right" w:pos="9360"/>
              </w:tabs>
              <w:spacing w:line="276" w:lineRule="auto"/>
              <w:jc w:val="center"/>
              <w:rPr>
                <w:rFonts w:ascii="Arial" w:hAnsi="Arial" w:cs="Arial"/>
                <w:color w:val="6600CC"/>
                <w:sz w:val="21"/>
                <w:szCs w:val="21"/>
              </w:rPr>
            </w:pPr>
            <w:r w:rsidRPr="00583817">
              <w:rPr>
                <w:rFonts w:ascii="Palatino Linotype" w:hAnsi="Palatino Linotype"/>
                <w:b/>
                <w:bCs/>
                <w:color w:val="002060"/>
                <w:sz w:val="22"/>
                <w:szCs w:val="22"/>
                <w:lang w:val="ro-RO"/>
              </w:rPr>
              <w:t>POLITEHNICA BUCUREȘTI</w:t>
            </w:r>
          </w:p>
        </w:tc>
      </w:tr>
    </w:tbl>
    <w:p w14:paraId="54A36884" w14:textId="77777777" w:rsidR="00244622" w:rsidRDefault="00244622" w:rsidP="00822F86">
      <w:pPr>
        <w:jc w:val="center"/>
        <w:rPr>
          <w:rFonts w:ascii="Arial" w:hAnsi="Arial" w:cs="Arial"/>
          <w:b/>
          <w:sz w:val="24"/>
          <w:szCs w:val="24"/>
          <w:lang w:val="ro-RO"/>
        </w:rPr>
      </w:pPr>
    </w:p>
    <w:p w14:paraId="45B0813A" w14:textId="2EF6FF0D" w:rsidR="00822F86" w:rsidRPr="00822F86" w:rsidRDefault="00822F86" w:rsidP="00822F86">
      <w:pPr>
        <w:jc w:val="center"/>
        <w:rPr>
          <w:rFonts w:ascii="Arial" w:hAnsi="Arial" w:cs="Arial"/>
          <w:b/>
          <w:sz w:val="24"/>
          <w:szCs w:val="24"/>
          <w:lang w:val="ro-RO"/>
        </w:rPr>
      </w:pPr>
      <w:r w:rsidRPr="00822F86">
        <w:rPr>
          <w:rFonts w:ascii="Arial" w:hAnsi="Arial" w:cs="Arial"/>
          <w:b/>
          <w:sz w:val="24"/>
          <w:szCs w:val="24"/>
          <w:lang w:val="ro-RO"/>
        </w:rPr>
        <w:t>Metodologie privind accesarea fondurilor destinate</w:t>
      </w:r>
    </w:p>
    <w:p w14:paraId="1F5A795F" w14:textId="77777777" w:rsidR="00822F86" w:rsidRDefault="00822F86" w:rsidP="00822F86">
      <w:pPr>
        <w:jc w:val="center"/>
        <w:rPr>
          <w:rFonts w:ascii="Arial" w:hAnsi="Arial" w:cs="Arial"/>
          <w:sz w:val="24"/>
          <w:szCs w:val="24"/>
          <w:lang w:val="ro-RO"/>
        </w:rPr>
      </w:pPr>
      <w:r w:rsidRPr="00822F86">
        <w:rPr>
          <w:rFonts w:ascii="Arial" w:hAnsi="Arial" w:cs="Arial"/>
          <w:b/>
          <w:sz w:val="24"/>
          <w:szCs w:val="24"/>
          <w:lang w:val="ro-RO"/>
        </w:rPr>
        <w:t>studenţilor doctoranzi din grantul doctoral</w:t>
      </w:r>
    </w:p>
    <w:p w14:paraId="24748857" w14:textId="77777777" w:rsidR="00822F86" w:rsidRPr="00822F86" w:rsidRDefault="00822F86" w:rsidP="00244622">
      <w:pPr>
        <w:spacing w:line="360" w:lineRule="auto"/>
        <w:jc w:val="center"/>
        <w:rPr>
          <w:rFonts w:ascii="Arial" w:hAnsi="Arial" w:cs="Arial"/>
          <w:b/>
          <w:sz w:val="24"/>
          <w:szCs w:val="24"/>
          <w:lang w:val="ro-RO"/>
        </w:rPr>
      </w:pPr>
    </w:p>
    <w:p w14:paraId="259F4A8C" w14:textId="77777777" w:rsidR="00822F86" w:rsidRPr="00822F86" w:rsidRDefault="00822F86" w:rsidP="004004F5">
      <w:pPr>
        <w:pStyle w:val="ListParagraph"/>
        <w:numPr>
          <w:ilvl w:val="0"/>
          <w:numId w:val="1"/>
        </w:numPr>
        <w:spacing w:line="360" w:lineRule="auto"/>
        <w:jc w:val="both"/>
        <w:rPr>
          <w:rFonts w:ascii="Arial" w:hAnsi="Arial" w:cs="Arial"/>
          <w:b/>
          <w:sz w:val="24"/>
          <w:szCs w:val="24"/>
          <w:lang w:val="ro-RO"/>
        </w:rPr>
      </w:pPr>
      <w:r w:rsidRPr="00822F86">
        <w:rPr>
          <w:rFonts w:ascii="Arial" w:hAnsi="Arial" w:cs="Arial"/>
          <w:b/>
          <w:sz w:val="24"/>
          <w:szCs w:val="24"/>
          <w:lang w:val="ro-RO"/>
        </w:rPr>
        <w:t>Generalităţi</w:t>
      </w:r>
    </w:p>
    <w:p w14:paraId="6AFBA7A3" w14:textId="77777777" w:rsidR="00822F86" w:rsidRDefault="00822F86" w:rsidP="004004F5">
      <w:pPr>
        <w:pStyle w:val="ListParagraph"/>
        <w:spacing w:line="360" w:lineRule="auto"/>
        <w:ind w:left="0" w:firstLine="720"/>
        <w:jc w:val="both"/>
        <w:rPr>
          <w:rFonts w:ascii="Arial" w:hAnsi="Arial" w:cs="Arial"/>
          <w:sz w:val="24"/>
          <w:szCs w:val="24"/>
          <w:lang w:val="ro-RO"/>
        </w:rPr>
      </w:pPr>
      <w:r>
        <w:rPr>
          <w:rFonts w:ascii="Arial" w:hAnsi="Arial" w:cs="Arial"/>
          <w:sz w:val="24"/>
          <w:szCs w:val="24"/>
          <w:lang w:val="ro-RO"/>
        </w:rPr>
        <w:t>Conform reglementărilor în vigoare (Legea Învăţământului Superior nr. 199/2023, OMEN nr. 3020/2024) studenţii doctoranzi aflaţi în stagiu, înmatriculaţi</w:t>
      </w:r>
      <w:r w:rsidR="00E94175">
        <w:rPr>
          <w:rFonts w:ascii="Arial" w:hAnsi="Arial" w:cs="Arial"/>
          <w:sz w:val="24"/>
          <w:szCs w:val="24"/>
          <w:lang w:val="ro-RO"/>
        </w:rPr>
        <w:t xml:space="preserve"> pe un loc bugetat, beneficiază anual de fonduri pentru programul de cercetare, acestea reprezentând</w:t>
      </w:r>
      <w:r w:rsidR="0035704D">
        <w:rPr>
          <w:rFonts w:ascii="Arial" w:hAnsi="Arial" w:cs="Arial"/>
          <w:sz w:val="24"/>
          <w:szCs w:val="24"/>
          <w:lang w:val="ro-RO"/>
        </w:rPr>
        <w:t xml:space="preserve"> o cotă parte din grantul doctoral.</w:t>
      </w:r>
    </w:p>
    <w:p w14:paraId="535AFCB1" w14:textId="77777777" w:rsidR="0035704D" w:rsidRDefault="0035704D" w:rsidP="004004F5">
      <w:pPr>
        <w:pStyle w:val="ListParagraph"/>
        <w:spacing w:line="360" w:lineRule="auto"/>
        <w:ind w:left="0" w:firstLine="720"/>
        <w:jc w:val="both"/>
        <w:rPr>
          <w:rFonts w:ascii="Arial" w:hAnsi="Arial" w:cs="Arial"/>
          <w:sz w:val="24"/>
          <w:szCs w:val="24"/>
          <w:lang w:val="ro-RO"/>
        </w:rPr>
      </w:pPr>
      <w:r>
        <w:rPr>
          <w:rFonts w:ascii="Arial" w:hAnsi="Arial" w:cs="Arial"/>
          <w:sz w:val="24"/>
          <w:szCs w:val="24"/>
          <w:lang w:val="ro-RO"/>
        </w:rPr>
        <w:t>Aceste fonduri pot fi utilizate conform OMEN nr. 3020/2024 pentru desfăşurarea activităţii de cercetare ştiinţifică din cadrul programului de cercetare avansată, inclusiv pentru mobilităţi, cuprinzând următoarele categorii de cheltuieli:</w:t>
      </w:r>
    </w:p>
    <w:p w14:paraId="649D0277" w14:textId="77777777" w:rsidR="0035704D" w:rsidRDefault="0035704D" w:rsidP="004004F5">
      <w:pPr>
        <w:pStyle w:val="ListParagraph"/>
        <w:numPr>
          <w:ilvl w:val="0"/>
          <w:numId w:val="2"/>
        </w:numPr>
        <w:spacing w:line="360" w:lineRule="auto"/>
        <w:jc w:val="both"/>
        <w:rPr>
          <w:rFonts w:ascii="Arial" w:hAnsi="Arial" w:cs="Arial"/>
          <w:sz w:val="24"/>
          <w:szCs w:val="24"/>
          <w:lang w:val="ro-RO"/>
        </w:rPr>
      </w:pPr>
      <w:r>
        <w:rPr>
          <w:rFonts w:ascii="Arial" w:hAnsi="Arial" w:cs="Arial"/>
          <w:sz w:val="24"/>
          <w:szCs w:val="24"/>
          <w:lang w:val="ro-RO"/>
        </w:rPr>
        <w:t>cheltuieli materiale, servicii şi echipamente aferente programului de cercetare;</w:t>
      </w:r>
    </w:p>
    <w:p w14:paraId="76748C35" w14:textId="769961E5" w:rsidR="0035704D" w:rsidRDefault="0035704D" w:rsidP="004004F5">
      <w:pPr>
        <w:pStyle w:val="ListParagraph"/>
        <w:numPr>
          <w:ilvl w:val="0"/>
          <w:numId w:val="2"/>
        </w:numPr>
        <w:spacing w:line="360" w:lineRule="auto"/>
        <w:jc w:val="both"/>
        <w:rPr>
          <w:rFonts w:ascii="Arial" w:hAnsi="Arial" w:cs="Arial"/>
          <w:sz w:val="24"/>
          <w:szCs w:val="24"/>
          <w:lang w:val="ro-RO"/>
        </w:rPr>
      </w:pPr>
      <w:r>
        <w:rPr>
          <w:rFonts w:ascii="Arial" w:hAnsi="Arial" w:cs="Arial"/>
          <w:sz w:val="24"/>
          <w:szCs w:val="24"/>
          <w:lang w:val="ro-RO"/>
        </w:rPr>
        <w:t xml:space="preserve">cheltuieli pentru participarea la conferinţe ştiinţifice/workshopuri, şcoli de vară, stagii de cercetare precum </w:t>
      </w:r>
      <w:r w:rsidR="0069036A">
        <w:rPr>
          <w:rFonts w:ascii="Arial" w:hAnsi="Arial" w:cs="Arial"/>
          <w:sz w:val="24"/>
          <w:szCs w:val="24"/>
          <w:lang w:val="ro-RO"/>
        </w:rPr>
        <w:t>ș</w:t>
      </w:r>
      <w:r>
        <w:rPr>
          <w:rFonts w:ascii="Arial" w:hAnsi="Arial" w:cs="Arial"/>
          <w:sz w:val="24"/>
          <w:szCs w:val="24"/>
          <w:lang w:val="ro-RO"/>
        </w:rPr>
        <w:t xml:space="preserve">i cheltuieli privind publicarea de articole </w:t>
      </w:r>
      <w:r w:rsidRPr="0035704D">
        <w:rPr>
          <w:rFonts w:ascii="Arial" w:hAnsi="Arial" w:cs="Arial"/>
          <w:sz w:val="24"/>
          <w:szCs w:val="24"/>
          <w:lang w:val="ro-RO"/>
        </w:rPr>
        <w:t>ştiinţific</w:t>
      </w:r>
      <w:r>
        <w:rPr>
          <w:rFonts w:ascii="Arial" w:hAnsi="Arial" w:cs="Arial"/>
          <w:sz w:val="24"/>
          <w:szCs w:val="24"/>
          <w:lang w:val="ro-RO"/>
        </w:rPr>
        <w:t>e.</w:t>
      </w:r>
    </w:p>
    <w:p w14:paraId="7033CC8E" w14:textId="77777777" w:rsidR="0035704D" w:rsidRDefault="0035704D" w:rsidP="004004F5">
      <w:pPr>
        <w:pStyle w:val="ListParagraph"/>
        <w:spacing w:line="360" w:lineRule="auto"/>
        <w:ind w:left="0" w:firstLine="851"/>
        <w:jc w:val="both"/>
        <w:rPr>
          <w:rFonts w:ascii="Arial" w:hAnsi="Arial" w:cs="Arial"/>
          <w:sz w:val="24"/>
          <w:szCs w:val="24"/>
          <w:lang w:val="ro-RO"/>
        </w:rPr>
      </w:pPr>
      <w:r>
        <w:rPr>
          <w:rFonts w:ascii="Arial" w:hAnsi="Arial" w:cs="Arial"/>
          <w:sz w:val="24"/>
          <w:szCs w:val="24"/>
          <w:lang w:val="ro-RO"/>
        </w:rPr>
        <w:t xml:space="preserve">Accesarea acestor fonduri se face la </w:t>
      </w:r>
      <w:r w:rsidR="00934E1D">
        <w:rPr>
          <w:rFonts w:ascii="Arial" w:hAnsi="Arial" w:cs="Arial"/>
          <w:sz w:val="24"/>
          <w:szCs w:val="24"/>
          <w:lang w:val="ro-RO"/>
        </w:rPr>
        <w:t xml:space="preserve">iniţiativa doctorandului, cu avizul conducătorului ştiinţific şi cu aprobarea Directorului Şcolii Doctorale în care doctorandul îşi desfăşoară activitatea. Cheltuirea fondurilor poate fi făcută, doar pe bază de notă de fundamentare şi alte documente, în funcţie de specificul cheltuielii angajate. </w:t>
      </w:r>
      <w:r w:rsidR="00A03E68">
        <w:rPr>
          <w:rFonts w:ascii="Arial" w:hAnsi="Arial" w:cs="Arial"/>
          <w:sz w:val="24"/>
          <w:szCs w:val="24"/>
          <w:lang w:val="ro-RO"/>
        </w:rPr>
        <w:t>Nu pot fi angajate cheltuieli î</w:t>
      </w:r>
      <w:r w:rsidR="00531FF2">
        <w:rPr>
          <w:rFonts w:ascii="Arial" w:hAnsi="Arial" w:cs="Arial"/>
          <w:sz w:val="24"/>
          <w:szCs w:val="24"/>
          <w:lang w:val="ro-RO"/>
        </w:rPr>
        <w:t>nainte de aprobarea acestora.</w:t>
      </w:r>
    </w:p>
    <w:p w14:paraId="0E3B54CE" w14:textId="77777777" w:rsidR="00531FF2" w:rsidRDefault="00531FF2" w:rsidP="004004F5">
      <w:pPr>
        <w:pStyle w:val="ListParagraph"/>
        <w:spacing w:line="360" w:lineRule="auto"/>
        <w:ind w:left="0" w:firstLine="851"/>
        <w:jc w:val="both"/>
        <w:rPr>
          <w:rFonts w:ascii="Arial" w:hAnsi="Arial" w:cs="Arial"/>
          <w:sz w:val="24"/>
          <w:szCs w:val="24"/>
          <w:lang w:val="ro-RO"/>
        </w:rPr>
      </w:pPr>
      <w:r>
        <w:rPr>
          <w:rFonts w:ascii="Arial" w:hAnsi="Arial" w:cs="Arial"/>
          <w:sz w:val="24"/>
          <w:szCs w:val="24"/>
          <w:lang w:val="ro-RO"/>
        </w:rPr>
        <w:t>Bunurile şi echipamentele achiziţionate din granturile doctorale sunt proprietatea Politehnica Bucureşti, aflate în subgestiunea doctorandului pe durata</w:t>
      </w:r>
      <w:r w:rsidR="00BC6D4F">
        <w:rPr>
          <w:rFonts w:ascii="Arial" w:hAnsi="Arial" w:cs="Arial"/>
          <w:sz w:val="24"/>
          <w:szCs w:val="24"/>
          <w:lang w:val="ro-RO"/>
        </w:rPr>
        <w:t xml:space="preserve"> </w:t>
      </w:r>
      <w:r>
        <w:rPr>
          <w:rFonts w:ascii="Arial" w:hAnsi="Arial" w:cs="Arial"/>
          <w:sz w:val="24"/>
          <w:szCs w:val="24"/>
          <w:lang w:val="ro-RO"/>
        </w:rPr>
        <w:t>studiilor universitare de doctorat. La finalizarea studiilor, pentru a i se putea semna fişa de lichidare, doctorandul este obligat sa le returneze gestionarului care le-a luat în evidenţă.</w:t>
      </w:r>
    </w:p>
    <w:p w14:paraId="153127FF" w14:textId="77777777" w:rsidR="00531FF2" w:rsidRPr="00822F86" w:rsidRDefault="00531FF2" w:rsidP="004004F5">
      <w:pPr>
        <w:pStyle w:val="ListParagraph"/>
        <w:spacing w:line="360" w:lineRule="auto"/>
        <w:ind w:left="0" w:firstLine="851"/>
        <w:jc w:val="both"/>
        <w:rPr>
          <w:rFonts w:ascii="Arial" w:hAnsi="Arial" w:cs="Arial"/>
          <w:sz w:val="24"/>
          <w:szCs w:val="24"/>
          <w:lang w:val="ro-RO"/>
        </w:rPr>
      </w:pPr>
    </w:p>
    <w:p w14:paraId="19D82E37" w14:textId="77777777" w:rsidR="00822F86" w:rsidRDefault="00822F86" w:rsidP="004004F5">
      <w:pPr>
        <w:pStyle w:val="ListParagraph"/>
        <w:numPr>
          <w:ilvl w:val="0"/>
          <w:numId w:val="1"/>
        </w:numPr>
        <w:spacing w:line="360" w:lineRule="auto"/>
        <w:jc w:val="both"/>
        <w:rPr>
          <w:rFonts w:ascii="Arial" w:hAnsi="Arial" w:cs="Arial"/>
          <w:b/>
          <w:sz w:val="24"/>
          <w:szCs w:val="24"/>
          <w:lang w:val="ro-RO"/>
        </w:rPr>
      </w:pPr>
      <w:r w:rsidRPr="00822F86">
        <w:rPr>
          <w:rFonts w:ascii="Arial" w:hAnsi="Arial" w:cs="Arial"/>
          <w:b/>
          <w:sz w:val="24"/>
          <w:szCs w:val="24"/>
          <w:lang w:val="ro-RO"/>
        </w:rPr>
        <w:t>Modul de lucru</w:t>
      </w:r>
    </w:p>
    <w:p w14:paraId="1571BFE3" w14:textId="52463513" w:rsidR="00531FF2" w:rsidRDefault="00531FF2" w:rsidP="005C2533">
      <w:pPr>
        <w:pStyle w:val="ListParagraph"/>
        <w:numPr>
          <w:ilvl w:val="0"/>
          <w:numId w:val="4"/>
        </w:numPr>
        <w:spacing w:line="360" w:lineRule="auto"/>
        <w:ind w:left="426"/>
        <w:jc w:val="both"/>
        <w:rPr>
          <w:rFonts w:ascii="Arial" w:hAnsi="Arial" w:cs="Arial"/>
          <w:sz w:val="24"/>
          <w:szCs w:val="24"/>
          <w:lang w:val="ro-RO"/>
        </w:rPr>
      </w:pPr>
      <w:r>
        <w:rPr>
          <w:rFonts w:ascii="Arial" w:hAnsi="Arial" w:cs="Arial"/>
          <w:sz w:val="24"/>
          <w:szCs w:val="24"/>
          <w:lang w:val="ro-RO"/>
        </w:rPr>
        <w:t xml:space="preserve">Doctoranzii care doresc să acceseze fonduri din grantul doctoral completează o </w:t>
      </w:r>
      <w:r w:rsidRPr="00531FF2">
        <w:rPr>
          <w:rFonts w:ascii="Arial" w:hAnsi="Arial" w:cs="Arial"/>
          <w:sz w:val="24"/>
          <w:szCs w:val="24"/>
          <w:u w:val="single"/>
          <w:lang w:val="ro-RO"/>
        </w:rPr>
        <w:t>Notă de fundamentare pentru achiziţii de bunuri, servicii</w:t>
      </w:r>
      <w:r>
        <w:rPr>
          <w:rFonts w:ascii="Arial" w:hAnsi="Arial" w:cs="Arial"/>
          <w:sz w:val="24"/>
          <w:szCs w:val="24"/>
          <w:lang w:val="ro-RO"/>
        </w:rPr>
        <w:t>, etc</w:t>
      </w:r>
      <w:r w:rsidR="00E15D87">
        <w:rPr>
          <w:rFonts w:ascii="Arial" w:hAnsi="Arial" w:cs="Arial"/>
          <w:sz w:val="24"/>
          <w:szCs w:val="24"/>
          <w:lang w:val="ro-RO"/>
        </w:rPr>
        <w:t xml:space="preserve"> (format liber)</w:t>
      </w:r>
      <w:r>
        <w:rPr>
          <w:rFonts w:ascii="Arial" w:hAnsi="Arial" w:cs="Arial"/>
          <w:sz w:val="24"/>
          <w:szCs w:val="24"/>
          <w:lang w:val="ro-RO"/>
        </w:rPr>
        <w:t xml:space="preserve">. Dacă doctoranzii vizează o mobilitate (participări la conferinţe, stagii în străinătate, workshopuri, şcoli de vară etc.) atunci vor completa o </w:t>
      </w:r>
      <w:r w:rsidRPr="00C21447">
        <w:rPr>
          <w:rFonts w:ascii="Arial" w:hAnsi="Arial" w:cs="Arial"/>
          <w:sz w:val="24"/>
          <w:szCs w:val="24"/>
          <w:u w:val="single"/>
          <w:lang w:val="ro-RO"/>
        </w:rPr>
        <w:t>Notă de delegare</w:t>
      </w:r>
      <w:r>
        <w:rPr>
          <w:rFonts w:ascii="Arial" w:hAnsi="Arial" w:cs="Arial"/>
          <w:sz w:val="24"/>
          <w:szCs w:val="24"/>
          <w:lang w:val="ro-RO"/>
        </w:rPr>
        <w:t xml:space="preserve"> (Anexa 1)</w:t>
      </w:r>
      <w:r w:rsidR="00C21447">
        <w:rPr>
          <w:rFonts w:ascii="Arial" w:hAnsi="Arial" w:cs="Arial"/>
          <w:sz w:val="24"/>
          <w:szCs w:val="24"/>
          <w:lang w:val="ro-RO"/>
        </w:rPr>
        <w:t xml:space="preserve"> care, pe lângă avizarea de către conducătorul de doctorat şi aprobarea de către Directorului Şcolii Doctorale, va fi aprobată şi de către Directorul CSUD. Acest document se încarcă în platforma </w:t>
      </w:r>
      <w:hyperlink r:id="rId6" w:history="1">
        <w:r w:rsidR="00E15D87" w:rsidRPr="00B1767D">
          <w:rPr>
            <w:rStyle w:val="Hyperlink"/>
            <w:rFonts w:ascii="Arial" w:hAnsi="Arial" w:cs="Arial"/>
            <w:sz w:val="24"/>
            <w:szCs w:val="24"/>
            <w:lang w:val="ro-RO"/>
          </w:rPr>
          <w:t>https://travel.upb.ro</w:t>
        </w:r>
      </w:hyperlink>
      <w:r w:rsidR="00C21447">
        <w:rPr>
          <w:rFonts w:ascii="Arial" w:hAnsi="Arial" w:cs="Arial"/>
          <w:sz w:val="24"/>
          <w:szCs w:val="24"/>
          <w:lang w:val="ro-RO"/>
        </w:rPr>
        <w:t xml:space="preserve">, în </w:t>
      </w:r>
      <w:r w:rsidR="00E15D87">
        <w:rPr>
          <w:rFonts w:ascii="Arial" w:hAnsi="Arial" w:cs="Arial"/>
          <w:sz w:val="24"/>
          <w:szCs w:val="24"/>
          <w:lang w:val="ro-RO"/>
        </w:rPr>
        <w:t>secțiunea</w:t>
      </w:r>
      <w:r w:rsidR="001C23A0">
        <w:rPr>
          <w:rFonts w:ascii="Arial" w:hAnsi="Arial" w:cs="Arial"/>
          <w:sz w:val="24"/>
          <w:szCs w:val="24"/>
          <w:lang w:val="ro-RO"/>
        </w:rPr>
        <w:t xml:space="preserve"> „</w:t>
      </w:r>
      <w:r w:rsidR="0069036A">
        <w:rPr>
          <w:rFonts w:ascii="Arial" w:hAnsi="Arial" w:cs="Arial"/>
          <w:sz w:val="24"/>
          <w:szCs w:val="24"/>
          <w:lang w:val="ro-RO"/>
        </w:rPr>
        <w:t>Dovada fonduri granturi doctoranzi</w:t>
      </w:r>
      <w:r w:rsidR="001C23A0">
        <w:rPr>
          <w:rFonts w:ascii="Arial" w:hAnsi="Arial" w:cs="Arial"/>
          <w:sz w:val="24"/>
          <w:szCs w:val="24"/>
          <w:lang w:val="ro-RO"/>
        </w:rPr>
        <w:t>”, alături de celelalte documente solicitate în platformă. Pentru aprobarea de către Directorul CSUD</w:t>
      </w:r>
      <w:r w:rsidR="00167A39">
        <w:rPr>
          <w:rFonts w:ascii="Arial" w:hAnsi="Arial" w:cs="Arial"/>
          <w:sz w:val="24"/>
          <w:szCs w:val="24"/>
          <w:lang w:val="ro-RO"/>
        </w:rPr>
        <w:t xml:space="preserve"> </w:t>
      </w:r>
      <w:r w:rsidR="001C23A0">
        <w:rPr>
          <w:rFonts w:ascii="Arial" w:hAnsi="Arial" w:cs="Arial"/>
          <w:sz w:val="24"/>
          <w:szCs w:val="24"/>
          <w:lang w:val="ro-RO"/>
        </w:rPr>
        <w:t xml:space="preserve">este necesară şi prezentarea, alături de </w:t>
      </w:r>
      <w:r w:rsidR="001C23A0" w:rsidRPr="001C23A0">
        <w:rPr>
          <w:rFonts w:ascii="Arial" w:hAnsi="Arial" w:cs="Arial"/>
          <w:sz w:val="24"/>
          <w:szCs w:val="24"/>
          <w:u w:val="single"/>
          <w:lang w:val="ro-RO"/>
        </w:rPr>
        <w:t>Nota de delegare</w:t>
      </w:r>
      <w:r w:rsidR="001C23A0">
        <w:rPr>
          <w:rFonts w:ascii="Arial" w:hAnsi="Arial" w:cs="Arial"/>
          <w:sz w:val="24"/>
          <w:szCs w:val="24"/>
          <w:lang w:val="ro-RO"/>
        </w:rPr>
        <w:t xml:space="preserve"> şi acceptul lucrării </w:t>
      </w:r>
      <w:r w:rsidR="005C2533">
        <w:rPr>
          <w:rFonts w:ascii="Arial" w:hAnsi="Arial" w:cs="Arial"/>
          <w:sz w:val="24"/>
          <w:szCs w:val="24"/>
          <w:lang w:val="ro-RO"/>
        </w:rPr>
        <w:t>la</w:t>
      </w:r>
      <w:r w:rsidR="001C23A0">
        <w:rPr>
          <w:rFonts w:ascii="Arial" w:hAnsi="Arial" w:cs="Arial"/>
          <w:sz w:val="24"/>
          <w:szCs w:val="24"/>
          <w:lang w:val="ro-RO"/>
        </w:rPr>
        <w:t xml:space="preserve"> </w:t>
      </w:r>
      <w:r w:rsidR="00F77C73">
        <w:rPr>
          <w:rFonts w:ascii="Arial" w:hAnsi="Arial" w:cs="Arial"/>
          <w:sz w:val="24"/>
          <w:szCs w:val="24"/>
          <w:lang w:val="ro-RO"/>
        </w:rPr>
        <w:t>conferință</w:t>
      </w:r>
      <w:r w:rsidR="001C23A0">
        <w:rPr>
          <w:rFonts w:ascii="Arial" w:hAnsi="Arial" w:cs="Arial"/>
          <w:sz w:val="24"/>
          <w:szCs w:val="24"/>
          <w:lang w:val="ro-RO"/>
        </w:rPr>
        <w:t xml:space="preserve"> precum şi lucrarea în extenso.</w:t>
      </w:r>
    </w:p>
    <w:p w14:paraId="47DB1B04" w14:textId="77777777" w:rsidR="001C23A0" w:rsidRDefault="001C23A0" w:rsidP="005C2533">
      <w:pPr>
        <w:pStyle w:val="ListParagraph"/>
        <w:numPr>
          <w:ilvl w:val="0"/>
          <w:numId w:val="4"/>
        </w:numPr>
        <w:spacing w:line="360" w:lineRule="auto"/>
        <w:ind w:left="426"/>
        <w:jc w:val="both"/>
        <w:rPr>
          <w:rFonts w:ascii="Arial" w:hAnsi="Arial" w:cs="Arial"/>
          <w:sz w:val="24"/>
          <w:szCs w:val="24"/>
          <w:lang w:val="ro-RO"/>
        </w:rPr>
      </w:pPr>
      <w:r>
        <w:rPr>
          <w:rFonts w:ascii="Arial" w:hAnsi="Arial" w:cs="Arial"/>
          <w:sz w:val="24"/>
          <w:szCs w:val="24"/>
          <w:lang w:val="ro-RO"/>
        </w:rPr>
        <w:lastRenderedPageBreak/>
        <w:t xml:space="preserve">În cazul </w:t>
      </w:r>
      <w:r w:rsidRPr="00531FF2">
        <w:rPr>
          <w:rFonts w:ascii="Arial" w:hAnsi="Arial" w:cs="Arial"/>
          <w:sz w:val="24"/>
          <w:szCs w:val="24"/>
          <w:u w:val="single"/>
          <w:lang w:val="ro-RO"/>
        </w:rPr>
        <w:t>Not</w:t>
      </w:r>
      <w:r>
        <w:rPr>
          <w:rFonts w:ascii="Arial" w:hAnsi="Arial" w:cs="Arial"/>
          <w:sz w:val="24"/>
          <w:szCs w:val="24"/>
          <w:u w:val="single"/>
          <w:lang w:val="ro-RO"/>
        </w:rPr>
        <w:t>ei</w:t>
      </w:r>
      <w:r w:rsidRPr="00531FF2">
        <w:rPr>
          <w:rFonts w:ascii="Arial" w:hAnsi="Arial" w:cs="Arial"/>
          <w:sz w:val="24"/>
          <w:szCs w:val="24"/>
          <w:u w:val="single"/>
          <w:lang w:val="ro-RO"/>
        </w:rPr>
        <w:t xml:space="preserve"> de fundamentare</w:t>
      </w:r>
      <w:r w:rsidRPr="001C23A0">
        <w:rPr>
          <w:rFonts w:ascii="Arial" w:hAnsi="Arial" w:cs="Arial"/>
          <w:sz w:val="24"/>
          <w:szCs w:val="24"/>
          <w:lang w:val="ro-RO"/>
        </w:rPr>
        <w:t xml:space="preserve"> pentru achiziţii de bunuri, servicii</w:t>
      </w:r>
      <w:r>
        <w:rPr>
          <w:rFonts w:ascii="Arial" w:hAnsi="Arial" w:cs="Arial"/>
          <w:sz w:val="24"/>
          <w:szCs w:val="24"/>
          <w:lang w:val="ro-RO"/>
        </w:rPr>
        <w:t xml:space="preserve"> etc. aceasta se înaintează Decanului facultăţii după ce a fost înregistrată de </w:t>
      </w:r>
      <w:r w:rsidRPr="001C23A0">
        <w:rPr>
          <w:rFonts w:ascii="Arial" w:hAnsi="Arial" w:cs="Arial"/>
          <w:sz w:val="24"/>
          <w:szCs w:val="24"/>
          <w:lang w:val="ro-RO"/>
        </w:rPr>
        <w:t>Şcoala Doctorală</w:t>
      </w:r>
      <w:r>
        <w:rPr>
          <w:rFonts w:ascii="Arial" w:hAnsi="Arial" w:cs="Arial"/>
          <w:sz w:val="24"/>
          <w:szCs w:val="24"/>
          <w:lang w:val="ro-RO"/>
        </w:rPr>
        <w:t>, care are obligaţia, prin Directorul Şcolii Doctorale</w:t>
      </w:r>
      <w:r w:rsidR="00B02C8C">
        <w:rPr>
          <w:rFonts w:ascii="Arial" w:hAnsi="Arial" w:cs="Arial"/>
          <w:sz w:val="24"/>
          <w:szCs w:val="24"/>
          <w:lang w:val="ro-RO"/>
        </w:rPr>
        <w:t xml:space="preserve">, să ţină evidenţa strictă a fondurilor cheltuite de fiecare doctorand. Decanul are dreptul să refuze avizarea </w:t>
      </w:r>
      <w:r w:rsidR="00B02C8C" w:rsidRPr="00B02C8C">
        <w:rPr>
          <w:rFonts w:ascii="Arial" w:hAnsi="Arial" w:cs="Arial"/>
          <w:sz w:val="24"/>
          <w:szCs w:val="24"/>
          <w:lang w:val="ro-RO"/>
        </w:rPr>
        <w:t>Notei de fundamentare</w:t>
      </w:r>
      <w:r w:rsidR="00B02C8C" w:rsidRPr="001C23A0">
        <w:rPr>
          <w:rFonts w:ascii="Arial" w:hAnsi="Arial" w:cs="Arial"/>
          <w:sz w:val="24"/>
          <w:szCs w:val="24"/>
          <w:lang w:val="ro-RO"/>
        </w:rPr>
        <w:t xml:space="preserve"> pentru achiziţii de bunuri, servicii</w:t>
      </w:r>
      <w:r w:rsidR="00B02C8C">
        <w:rPr>
          <w:rFonts w:ascii="Arial" w:hAnsi="Arial" w:cs="Arial"/>
          <w:sz w:val="24"/>
          <w:szCs w:val="24"/>
          <w:lang w:val="ro-RO"/>
        </w:rPr>
        <w:t xml:space="preserve">, dacă consideră că aceasta nu se încadrează în politica generală de dezvoltare a activităţii de cercetare </w:t>
      </w:r>
      <w:r w:rsidR="00B02C8C" w:rsidRPr="0069036A">
        <w:rPr>
          <w:rFonts w:ascii="Arial" w:hAnsi="Arial" w:cs="Arial"/>
          <w:sz w:val="24"/>
          <w:szCs w:val="24"/>
          <w:lang w:val="ro-RO"/>
        </w:rPr>
        <w:t xml:space="preserve">ştiinţifică a facultăţii. </w:t>
      </w:r>
      <w:r w:rsidR="00B02C8C" w:rsidRPr="0069036A">
        <w:rPr>
          <w:rFonts w:ascii="Arial" w:hAnsi="Arial" w:cs="Arial"/>
          <w:sz w:val="24"/>
          <w:szCs w:val="24"/>
          <w:lang w:val="pt-PT"/>
        </w:rPr>
        <w:t>În urma semnării de către decan, documentele se transmit administratorului şef pentru a fi incluse în procedura general</w:t>
      </w:r>
      <w:r w:rsidR="00A2497F" w:rsidRPr="0069036A">
        <w:rPr>
          <w:rFonts w:ascii="Arial" w:hAnsi="Arial" w:cs="Arial"/>
          <w:sz w:val="24"/>
          <w:szCs w:val="24"/>
          <w:lang w:val="pt-PT"/>
        </w:rPr>
        <w:t>ă</w:t>
      </w:r>
      <w:r w:rsidR="00B02C8C" w:rsidRPr="0069036A">
        <w:rPr>
          <w:rFonts w:ascii="Arial" w:hAnsi="Arial" w:cs="Arial"/>
          <w:sz w:val="24"/>
          <w:szCs w:val="24"/>
          <w:lang w:val="pt-PT"/>
        </w:rPr>
        <w:t xml:space="preserve"> de achiziţii </w:t>
      </w:r>
      <w:r w:rsidR="00167A39" w:rsidRPr="0069036A">
        <w:rPr>
          <w:rFonts w:ascii="Arial" w:hAnsi="Arial" w:cs="Arial"/>
          <w:sz w:val="24"/>
          <w:szCs w:val="24"/>
          <w:lang w:val="pt-PT"/>
        </w:rPr>
        <w:t xml:space="preserve">a </w:t>
      </w:r>
      <w:r w:rsidR="00167A39">
        <w:rPr>
          <w:rFonts w:ascii="Arial" w:hAnsi="Arial" w:cs="Arial"/>
          <w:sz w:val="24"/>
          <w:szCs w:val="24"/>
          <w:lang w:val="ro-RO"/>
        </w:rPr>
        <w:t>Politehnica Bucureşti.</w:t>
      </w:r>
    </w:p>
    <w:p w14:paraId="3BA84118" w14:textId="77777777" w:rsidR="00167A39" w:rsidRDefault="00167A39" w:rsidP="00E15D87">
      <w:pPr>
        <w:pStyle w:val="ListParagraph"/>
        <w:numPr>
          <w:ilvl w:val="0"/>
          <w:numId w:val="4"/>
        </w:numPr>
        <w:spacing w:line="360" w:lineRule="auto"/>
        <w:ind w:left="426" w:hanging="284"/>
        <w:jc w:val="both"/>
        <w:rPr>
          <w:rFonts w:ascii="Arial" w:hAnsi="Arial" w:cs="Arial"/>
          <w:sz w:val="24"/>
          <w:szCs w:val="24"/>
          <w:lang w:val="ro-RO"/>
        </w:rPr>
      </w:pPr>
      <w:r>
        <w:rPr>
          <w:rFonts w:ascii="Arial" w:hAnsi="Arial" w:cs="Arial"/>
          <w:sz w:val="24"/>
          <w:szCs w:val="24"/>
          <w:lang w:val="ro-RO"/>
        </w:rPr>
        <w:t>În urma finalizării mobilităţii (participarea la conferinţe, stagii în străinătate, workshopuri, şcoli de vară etc.), doctorandul are obligaţia de a prezenta un raport detaliat privind beneficiile pe care participarea le-a adus cercetării sale doctorale. Raportul este avizat de conducătorul de doctorat şi aprobat de Directorul Şcolii Doctorale. În cazul neaprobării raportului, doctorandul nu mai poate beneficia de o altă mobilitate în cursul</w:t>
      </w:r>
      <w:r w:rsidR="003E42C2">
        <w:rPr>
          <w:rFonts w:ascii="Arial" w:hAnsi="Arial" w:cs="Arial"/>
          <w:sz w:val="24"/>
          <w:szCs w:val="24"/>
          <w:lang w:val="ro-RO"/>
        </w:rPr>
        <w:t xml:space="preserve"> </w:t>
      </w:r>
      <w:r>
        <w:rPr>
          <w:rFonts w:ascii="Arial" w:hAnsi="Arial" w:cs="Arial"/>
          <w:sz w:val="24"/>
          <w:szCs w:val="24"/>
          <w:lang w:val="ro-RO"/>
        </w:rPr>
        <w:t>programului de studii universitare de doctorat.</w:t>
      </w:r>
    </w:p>
    <w:p w14:paraId="40D60AFD" w14:textId="77777777" w:rsidR="00167A39" w:rsidRPr="00167A39" w:rsidRDefault="00167A39" w:rsidP="004004F5">
      <w:pPr>
        <w:pStyle w:val="ListParagraph"/>
        <w:spacing w:line="360" w:lineRule="auto"/>
        <w:jc w:val="both"/>
        <w:rPr>
          <w:rFonts w:ascii="Arial" w:hAnsi="Arial" w:cs="Arial"/>
          <w:b/>
          <w:sz w:val="24"/>
          <w:szCs w:val="24"/>
          <w:lang w:val="ro-RO"/>
        </w:rPr>
      </w:pPr>
    </w:p>
    <w:p w14:paraId="6E705A82" w14:textId="77777777" w:rsidR="00822F86" w:rsidRPr="00167A39" w:rsidRDefault="00822F86" w:rsidP="004004F5">
      <w:pPr>
        <w:pStyle w:val="ListParagraph"/>
        <w:numPr>
          <w:ilvl w:val="0"/>
          <w:numId w:val="1"/>
        </w:numPr>
        <w:spacing w:line="360" w:lineRule="auto"/>
        <w:jc w:val="both"/>
        <w:rPr>
          <w:rFonts w:ascii="Arial" w:hAnsi="Arial" w:cs="Arial"/>
          <w:b/>
          <w:sz w:val="24"/>
          <w:szCs w:val="24"/>
          <w:lang w:val="ro-RO"/>
        </w:rPr>
      </w:pPr>
      <w:r w:rsidRPr="00167A39">
        <w:rPr>
          <w:rFonts w:ascii="Arial" w:hAnsi="Arial" w:cs="Arial"/>
          <w:b/>
          <w:sz w:val="24"/>
          <w:szCs w:val="24"/>
          <w:lang w:val="ro-RO"/>
        </w:rPr>
        <w:t>Responsabilităţi în derularea activităţii</w:t>
      </w:r>
    </w:p>
    <w:p w14:paraId="674D1BD2" w14:textId="77777777" w:rsidR="00167A39" w:rsidRPr="00167A39" w:rsidRDefault="00167A39" w:rsidP="004004F5">
      <w:pPr>
        <w:pStyle w:val="ListParagraph"/>
        <w:numPr>
          <w:ilvl w:val="1"/>
          <w:numId w:val="1"/>
        </w:numPr>
        <w:spacing w:line="360" w:lineRule="auto"/>
        <w:jc w:val="both"/>
        <w:rPr>
          <w:rFonts w:ascii="Arial" w:hAnsi="Arial" w:cs="Arial"/>
          <w:b/>
          <w:sz w:val="24"/>
          <w:szCs w:val="24"/>
          <w:lang w:val="ro-RO"/>
        </w:rPr>
      </w:pPr>
      <w:r w:rsidRPr="001C6CA8">
        <w:rPr>
          <w:rFonts w:ascii="Arial" w:hAnsi="Arial" w:cs="Arial"/>
          <w:sz w:val="24"/>
          <w:szCs w:val="24"/>
          <w:u w:val="single"/>
          <w:lang w:val="ro-RO"/>
        </w:rPr>
        <w:t>Doctorandul</w:t>
      </w:r>
      <w:r>
        <w:rPr>
          <w:rFonts w:ascii="Arial" w:hAnsi="Arial" w:cs="Arial"/>
          <w:sz w:val="24"/>
          <w:szCs w:val="24"/>
          <w:lang w:val="ro-RO"/>
        </w:rPr>
        <w:t xml:space="preserve"> are următoarele responsabilităţi:</w:t>
      </w:r>
    </w:p>
    <w:p w14:paraId="5627E012" w14:textId="77777777" w:rsidR="00F52209" w:rsidRPr="00F52209" w:rsidRDefault="00594662" w:rsidP="00F52209">
      <w:pPr>
        <w:pStyle w:val="ListParagraph"/>
        <w:numPr>
          <w:ilvl w:val="0"/>
          <w:numId w:val="2"/>
        </w:numPr>
        <w:spacing w:line="360" w:lineRule="auto"/>
        <w:jc w:val="both"/>
        <w:rPr>
          <w:rFonts w:ascii="Arial" w:hAnsi="Arial" w:cs="Arial"/>
          <w:b/>
          <w:sz w:val="24"/>
          <w:szCs w:val="24"/>
          <w:lang w:val="ro-RO"/>
        </w:rPr>
      </w:pPr>
      <w:r>
        <w:rPr>
          <w:rFonts w:ascii="Arial" w:hAnsi="Arial" w:cs="Arial"/>
          <w:sz w:val="24"/>
          <w:szCs w:val="24"/>
          <w:lang w:val="ro-RO"/>
        </w:rPr>
        <w:t>să redacteze corect, complet</w:t>
      </w:r>
      <w:r w:rsidR="00FF449F">
        <w:rPr>
          <w:rFonts w:ascii="Arial" w:hAnsi="Arial" w:cs="Arial"/>
          <w:sz w:val="24"/>
          <w:szCs w:val="24"/>
          <w:lang w:val="ro-RO"/>
        </w:rPr>
        <w:t xml:space="preserve"> şi cu respectarea termenelor limită, nota de fundamen</w:t>
      </w:r>
      <w:r w:rsidR="00BE4EB7">
        <w:rPr>
          <w:rFonts w:ascii="Arial" w:hAnsi="Arial" w:cs="Arial"/>
          <w:sz w:val="24"/>
          <w:szCs w:val="24"/>
          <w:lang w:val="ro-RO"/>
        </w:rPr>
        <w:t>tare şi alte documente necesare;</w:t>
      </w:r>
    </w:p>
    <w:p w14:paraId="3C6639F0" w14:textId="5BBA66B3" w:rsidR="00FF449F" w:rsidRPr="00F52209" w:rsidRDefault="00FF449F" w:rsidP="00F52209">
      <w:pPr>
        <w:pStyle w:val="ListParagraph"/>
        <w:numPr>
          <w:ilvl w:val="0"/>
          <w:numId w:val="2"/>
        </w:numPr>
        <w:spacing w:line="360" w:lineRule="auto"/>
        <w:jc w:val="both"/>
        <w:rPr>
          <w:rFonts w:ascii="Arial" w:hAnsi="Arial" w:cs="Arial"/>
          <w:b/>
          <w:sz w:val="24"/>
          <w:szCs w:val="24"/>
          <w:lang w:val="ro-RO"/>
        </w:rPr>
      </w:pPr>
      <w:r w:rsidRPr="00F52209">
        <w:rPr>
          <w:rFonts w:ascii="Arial" w:hAnsi="Arial" w:cs="Arial"/>
          <w:sz w:val="24"/>
          <w:szCs w:val="24"/>
          <w:lang w:val="ro-RO"/>
        </w:rPr>
        <w:t>să obţină semnătura conducătorului de doctorat şi a Directorului Şcolii Doctorale pe nota de fundamentare</w:t>
      </w:r>
      <w:r w:rsidR="00E15D87">
        <w:rPr>
          <w:rFonts w:ascii="Arial" w:hAnsi="Arial" w:cs="Arial"/>
          <w:sz w:val="24"/>
          <w:szCs w:val="24"/>
          <w:lang w:val="ro-RO"/>
        </w:rPr>
        <w:t>.</w:t>
      </w:r>
    </w:p>
    <w:p w14:paraId="38C96F19" w14:textId="77777777" w:rsidR="00FF449F" w:rsidRPr="001C6CA8" w:rsidRDefault="00FF449F" w:rsidP="004004F5">
      <w:pPr>
        <w:pStyle w:val="ListParagraph"/>
        <w:numPr>
          <w:ilvl w:val="0"/>
          <w:numId w:val="2"/>
        </w:numPr>
        <w:spacing w:line="360" w:lineRule="auto"/>
        <w:jc w:val="both"/>
        <w:rPr>
          <w:rFonts w:ascii="Arial" w:hAnsi="Arial" w:cs="Arial"/>
          <w:b/>
          <w:sz w:val="24"/>
          <w:szCs w:val="24"/>
          <w:lang w:val="ro-RO"/>
        </w:rPr>
      </w:pPr>
      <w:r>
        <w:rPr>
          <w:rFonts w:ascii="Arial" w:hAnsi="Arial" w:cs="Arial"/>
          <w:sz w:val="24"/>
          <w:szCs w:val="24"/>
          <w:lang w:val="ro-RO"/>
        </w:rPr>
        <w:t>să propună cheltuirea în mod justificat a fondurilor din grantul doctoral.</w:t>
      </w:r>
    </w:p>
    <w:p w14:paraId="22B7F3CA" w14:textId="77777777" w:rsidR="00167A39" w:rsidRPr="00D563F7" w:rsidRDefault="001C6CA8" w:rsidP="004004F5">
      <w:pPr>
        <w:pStyle w:val="ListParagraph"/>
        <w:numPr>
          <w:ilvl w:val="1"/>
          <w:numId w:val="1"/>
        </w:numPr>
        <w:spacing w:line="360" w:lineRule="auto"/>
        <w:jc w:val="both"/>
        <w:rPr>
          <w:rFonts w:ascii="Arial" w:hAnsi="Arial" w:cs="Arial"/>
          <w:b/>
          <w:sz w:val="24"/>
          <w:szCs w:val="24"/>
          <w:lang w:val="ro-RO"/>
        </w:rPr>
      </w:pPr>
      <w:r w:rsidRPr="001C6CA8">
        <w:rPr>
          <w:rFonts w:ascii="Arial" w:hAnsi="Arial" w:cs="Arial"/>
          <w:sz w:val="24"/>
          <w:szCs w:val="24"/>
          <w:u w:val="single"/>
          <w:lang w:val="ro-RO"/>
        </w:rPr>
        <w:t>Conducătorul de doctorat</w:t>
      </w:r>
      <w:r>
        <w:rPr>
          <w:rFonts w:ascii="Arial" w:hAnsi="Arial" w:cs="Arial"/>
          <w:sz w:val="24"/>
          <w:szCs w:val="24"/>
          <w:lang w:val="ro-RO"/>
        </w:rPr>
        <w:t xml:space="preserve"> are următoarele responsabilităţi:</w:t>
      </w:r>
    </w:p>
    <w:p w14:paraId="061060D5" w14:textId="77777777" w:rsidR="00D563F7" w:rsidRPr="00D563F7" w:rsidRDefault="00D563F7" w:rsidP="004004F5">
      <w:pPr>
        <w:pStyle w:val="ListParagraph"/>
        <w:numPr>
          <w:ilvl w:val="0"/>
          <w:numId w:val="2"/>
        </w:numPr>
        <w:spacing w:line="360" w:lineRule="auto"/>
        <w:jc w:val="both"/>
        <w:rPr>
          <w:rFonts w:ascii="Arial" w:hAnsi="Arial" w:cs="Arial"/>
          <w:b/>
          <w:sz w:val="24"/>
          <w:szCs w:val="24"/>
          <w:lang w:val="ro-RO"/>
        </w:rPr>
      </w:pPr>
      <w:r w:rsidRPr="00D563F7">
        <w:rPr>
          <w:rFonts w:ascii="Arial" w:hAnsi="Arial" w:cs="Arial"/>
          <w:sz w:val="24"/>
          <w:szCs w:val="24"/>
          <w:lang w:val="ro-RO"/>
        </w:rPr>
        <w:t>să analizeze cu atenţie solicitarea doctorandului şi să certifice faptul că ace</w:t>
      </w:r>
      <w:r>
        <w:rPr>
          <w:rFonts w:ascii="Arial" w:hAnsi="Arial" w:cs="Arial"/>
          <w:sz w:val="24"/>
          <w:szCs w:val="24"/>
          <w:lang w:val="ro-RO"/>
        </w:rPr>
        <w:t>a</w:t>
      </w:r>
      <w:r w:rsidRPr="00D563F7">
        <w:rPr>
          <w:rFonts w:ascii="Arial" w:hAnsi="Arial" w:cs="Arial"/>
          <w:sz w:val="24"/>
          <w:szCs w:val="24"/>
          <w:lang w:val="ro-RO"/>
        </w:rPr>
        <w:t xml:space="preserve">sta este în concordanţă cu </w:t>
      </w:r>
      <w:r>
        <w:rPr>
          <w:rFonts w:ascii="Arial" w:hAnsi="Arial" w:cs="Arial"/>
          <w:sz w:val="24"/>
          <w:szCs w:val="24"/>
          <w:lang w:val="ro-RO"/>
        </w:rPr>
        <w:t>programu</w:t>
      </w:r>
      <w:r w:rsidR="00BE4EB7">
        <w:rPr>
          <w:rFonts w:ascii="Arial" w:hAnsi="Arial" w:cs="Arial"/>
          <w:sz w:val="24"/>
          <w:szCs w:val="24"/>
          <w:lang w:val="ro-RO"/>
        </w:rPr>
        <w:t>l de cercetare al doctorandului;</w:t>
      </w:r>
    </w:p>
    <w:p w14:paraId="3D5F73B1" w14:textId="77777777" w:rsidR="00D563F7" w:rsidRPr="00C65955" w:rsidRDefault="00C65955" w:rsidP="004004F5">
      <w:pPr>
        <w:pStyle w:val="ListParagraph"/>
        <w:numPr>
          <w:ilvl w:val="0"/>
          <w:numId w:val="2"/>
        </w:numPr>
        <w:spacing w:line="360" w:lineRule="auto"/>
        <w:jc w:val="both"/>
        <w:rPr>
          <w:rFonts w:ascii="Arial" w:hAnsi="Arial" w:cs="Arial"/>
          <w:b/>
          <w:sz w:val="24"/>
          <w:szCs w:val="24"/>
          <w:lang w:val="ro-RO"/>
        </w:rPr>
      </w:pPr>
      <w:r>
        <w:rPr>
          <w:rFonts w:ascii="Arial" w:hAnsi="Arial" w:cs="Arial"/>
          <w:sz w:val="24"/>
          <w:szCs w:val="24"/>
          <w:lang w:val="ro-RO"/>
        </w:rPr>
        <w:t>să motiveze î</w:t>
      </w:r>
      <w:r w:rsidR="00D563F7">
        <w:rPr>
          <w:rFonts w:ascii="Arial" w:hAnsi="Arial" w:cs="Arial"/>
          <w:sz w:val="24"/>
          <w:szCs w:val="24"/>
          <w:lang w:val="ro-RO"/>
        </w:rPr>
        <w:t xml:space="preserve">n scris </w:t>
      </w:r>
      <w:r>
        <w:rPr>
          <w:rFonts w:ascii="Arial" w:hAnsi="Arial" w:cs="Arial"/>
          <w:sz w:val="24"/>
          <w:szCs w:val="24"/>
          <w:lang w:val="ro-RO"/>
        </w:rPr>
        <w:t>refuzul de a aproba cheltuiala</w:t>
      </w:r>
      <w:r w:rsidR="00BE4EB7">
        <w:rPr>
          <w:rFonts w:ascii="Arial" w:hAnsi="Arial" w:cs="Arial"/>
          <w:sz w:val="24"/>
          <w:szCs w:val="24"/>
          <w:lang w:val="ro-RO"/>
        </w:rPr>
        <w:t>;</w:t>
      </w:r>
    </w:p>
    <w:p w14:paraId="11E61C81" w14:textId="77777777" w:rsidR="00C65955" w:rsidRPr="00D563F7" w:rsidRDefault="00C65955" w:rsidP="004004F5">
      <w:pPr>
        <w:pStyle w:val="ListParagraph"/>
        <w:numPr>
          <w:ilvl w:val="0"/>
          <w:numId w:val="2"/>
        </w:numPr>
        <w:spacing w:line="360" w:lineRule="auto"/>
        <w:jc w:val="both"/>
        <w:rPr>
          <w:rFonts w:ascii="Arial" w:hAnsi="Arial" w:cs="Arial"/>
          <w:b/>
          <w:sz w:val="24"/>
          <w:szCs w:val="24"/>
          <w:lang w:val="ro-RO"/>
        </w:rPr>
      </w:pPr>
      <w:r>
        <w:rPr>
          <w:rFonts w:ascii="Arial" w:hAnsi="Arial" w:cs="Arial"/>
          <w:sz w:val="24"/>
          <w:szCs w:val="24"/>
          <w:lang w:val="ro-RO"/>
        </w:rPr>
        <w:t>Conducătorul de doctorat este responsabil în solidar cu doctorandul pentru cheltuirea legală şi responsabilă a fondurilor dedicate cercetării din grantul doctoral.</w:t>
      </w:r>
    </w:p>
    <w:p w14:paraId="43E0341D" w14:textId="77777777" w:rsidR="001C6CA8" w:rsidRPr="003967A1" w:rsidRDefault="001C6CA8" w:rsidP="004004F5">
      <w:pPr>
        <w:pStyle w:val="ListParagraph"/>
        <w:numPr>
          <w:ilvl w:val="1"/>
          <w:numId w:val="1"/>
        </w:numPr>
        <w:spacing w:line="360" w:lineRule="auto"/>
        <w:jc w:val="both"/>
        <w:rPr>
          <w:rFonts w:ascii="Arial" w:hAnsi="Arial" w:cs="Arial"/>
          <w:b/>
          <w:sz w:val="24"/>
          <w:szCs w:val="24"/>
          <w:lang w:val="ro-RO"/>
        </w:rPr>
      </w:pPr>
      <w:r w:rsidRPr="001C6CA8">
        <w:rPr>
          <w:rFonts w:ascii="Arial" w:hAnsi="Arial" w:cs="Arial"/>
          <w:sz w:val="24"/>
          <w:szCs w:val="24"/>
          <w:u w:val="single"/>
          <w:lang w:val="ro-RO"/>
        </w:rPr>
        <w:t>Directorul Şcolii Doctorale</w:t>
      </w:r>
      <w:r>
        <w:rPr>
          <w:rFonts w:ascii="Arial" w:hAnsi="Arial" w:cs="Arial"/>
          <w:sz w:val="24"/>
          <w:szCs w:val="24"/>
          <w:lang w:val="ro-RO"/>
        </w:rPr>
        <w:t xml:space="preserve"> are următoarele responsabilităţi:</w:t>
      </w:r>
    </w:p>
    <w:p w14:paraId="0B3C1FAB" w14:textId="77777777" w:rsidR="003967A1" w:rsidRPr="003967A1" w:rsidRDefault="003967A1" w:rsidP="004004F5">
      <w:pPr>
        <w:pStyle w:val="ListParagraph"/>
        <w:numPr>
          <w:ilvl w:val="0"/>
          <w:numId w:val="2"/>
        </w:numPr>
        <w:spacing w:line="360" w:lineRule="auto"/>
        <w:jc w:val="both"/>
        <w:rPr>
          <w:rFonts w:ascii="Arial" w:hAnsi="Arial" w:cs="Arial"/>
          <w:b/>
          <w:sz w:val="24"/>
          <w:szCs w:val="24"/>
          <w:lang w:val="ro-RO"/>
        </w:rPr>
      </w:pPr>
      <w:r w:rsidRPr="003967A1">
        <w:rPr>
          <w:rFonts w:ascii="Arial" w:hAnsi="Arial" w:cs="Arial"/>
          <w:sz w:val="24"/>
          <w:szCs w:val="24"/>
          <w:lang w:val="ro-RO"/>
        </w:rPr>
        <w:t>să verifice existenţa semnăt</w:t>
      </w:r>
      <w:r>
        <w:rPr>
          <w:rFonts w:ascii="Arial" w:hAnsi="Arial" w:cs="Arial"/>
          <w:sz w:val="24"/>
          <w:szCs w:val="24"/>
          <w:lang w:val="ro-RO"/>
        </w:rPr>
        <w:t>u</w:t>
      </w:r>
      <w:r w:rsidRPr="003967A1">
        <w:rPr>
          <w:rFonts w:ascii="Arial" w:hAnsi="Arial" w:cs="Arial"/>
          <w:sz w:val="24"/>
          <w:szCs w:val="24"/>
          <w:lang w:val="ro-RO"/>
        </w:rPr>
        <w:t>rilor</w:t>
      </w:r>
      <w:r>
        <w:rPr>
          <w:rFonts w:ascii="Arial" w:hAnsi="Arial" w:cs="Arial"/>
          <w:sz w:val="24"/>
          <w:szCs w:val="24"/>
          <w:lang w:val="ro-RO"/>
        </w:rPr>
        <w:t xml:space="preserve"> olografe ale doctorandului şi conducătorului de doctorat pe nota de fundamentare</w:t>
      </w:r>
      <w:r w:rsidR="00BE4EB7">
        <w:rPr>
          <w:rFonts w:ascii="Arial" w:hAnsi="Arial" w:cs="Arial"/>
          <w:sz w:val="24"/>
          <w:szCs w:val="24"/>
          <w:lang w:val="ro-RO"/>
        </w:rPr>
        <w:t>;</w:t>
      </w:r>
    </w:p>
    <w:p w14:paraId="1C97A283" w14:textId="77777777" w:rsidR="003967A1" w:rsidRPr="003967A1" w:rsidRDefault="003967A1" w:rsidP="004004F5">
      <w:pPr>
        <w:pStyle w:val="ListParagraph"/>
        <w:numPr>
          <w:ilvl w:val="0"/>
          <w:numId w:val="2"/>
        </w:numPr>
        <w:spacing w:line="360" w:lineRule="auto"/>
        <w:jc w:val="both"/>
        <w:rPr>
          <w:rFonts w:ascii="Arial" w:hAnsi="Arial" w:cs="Arial"/>
          <w:b/>
          <w:sz w:val="24"/>
          <w:szCs w:val="24"/>
          <w:lang w:val="ro-RO"/>
        </w:rPr>
      </w:pPr>
      <w:r>
        <w:rPr>
          <w:rFonts w:ascii="Arial" w:hAnsi="Arial" w:cs="Arial"/>
          <w:sz w:val="24"/>
          <w:szCs w:val="24"/>
          <w:lang w:val="ro-RO"/>
        </w:rPr>
        <w:t>să menţină actualizat Registrul de evidenţă a cheltuirii fondurilor dedicate cercetării din grantul doctoral</w:t>
      </w:r>
      <w:r w:rsidR="00BE4EB7">
        <w:rPr>
          <w:rFonts w:ascii="Arial" w:hAnsi="Arial" w:cs="Arial"/>
          <w:sz w:val="24"/>
          <w:szCs w:val="24"/>
          <w:lang w:val="ro-RO"/>
        </w:rPr>
        <w:t>;</w:t>
      </w:r>
    </w:p>
    <w:p w14:paraId="004248B2" w14:textId="77777777" w:rsidR="003967A1" w:rsidRPr="003967A1" w:rsidRDefault="003967A1" w:rsidP="004004F5">
      <w:pPr>
        <w:pStyle w:val="ListParagraph"/>
        <w:numPr>
          <w:ilvl w:val="0"/>
          <w:numId w:val="2"/>
        </w:numPr>
        <w:spacing w:line="360" w:lineRule="auto"/>
        <w:jc w:val="both"/>
        <w:rPr>
          <w:rFonts w:ascii="Arial" w:hAnsi="Arial" w:cs="Arial"/>
          <w:b/>
          <w:sz w:val="24"/>
          <w:szCs w:val="24"/>
          <w:lang w:val="ro-RO"/>
        </w:rPr>
      </w:pPr>
      <w:r>
        <w:rPr>
          <w:rFonts w:ascii="Arial" w:hAnsi="Arial" w:cs="Arial"/>
          <w:sz w:val="24"/>
          <w:szCs w:val="24"/>
          <w:lang w:val="ro-RO"/>
        </w:rPr>
        <w:t>răspunde de respectarea tuturor paşilor precizaţi în prezentul regulament.</w:t>
      </w:r>
    </w:p>
    <w:p w14:paraId="09EB849F" w14:textId="77777777" w:rsidR="00822F86" w:rsidRPr="00822F86" w:rsidRDefault="00822F86" w:rsidP="004004F5">
      <w:pPr>
        <w:pStyle w:val="ListParagraph"/>
        <w:numPr>
          <w:ilvl w:val="0"/>
          <w:numId w:val="1"/>
        </w:numPr>
        <w:spacing w:line="360" w:lineRule="auto"/>
        <w:jc w:val="both"/>
        <w:rPr>
          <w:rFonts w:ascii="Arial" w:hAnsi="Arial" w:cs="Arial"/>
          <w:b/>
          <w:sz w:val="24"/>
          <w:szCs w:val="24"/>
          <w:lang w:val="ro-RO"/>
        </w:rPr>
      </w:pPr>
      <w:r w:rsidRPr="00822F86">
        <w:rPr>
          <w:rFonts w:ascii="Arial" w:hAnsi="Arial" w:cs="Arial"/>
          <w:b/>
          <w:sz w:val="24"/>
          <w:szCs w:val="24"/>
          <w:lang w:val="ro-RO"/>
        </w:rPr>
        <w:t>Anexe</w:t>
      </w:r>
    </w:p>
    <w:p w14:paraId="2B4B84D5" w14:textId="04078405" w:rsidR="00822F86" w:rsidRDefault="003967A1" w:rsidP="004004F5">
      <w:pPr>
        <w:spacing w:line="360" w:lineRule="auto"/>
        <w:jc w:val="both"/>
        <w:rPr>
          <w:rFonts w:ascii="Arial" w:hAnsi="Arial" w:cs="Arial"/>
          <w:sz w:val="24"/>
          <w:szCs w:val="24"/>
          <w:lang w:val="ro-RO"/>
        </w:rPr>
      </w:pPr>
      <w:r w:rsidRPr="003967A1">
        <w:rPr>
          <w:rFonts w:ascii="Arial" w:hAnsi="Arial" w:cs="Arial"/>
          <w:sz w:val="24"/>
          <w:szCs w:val="24"/>
          <w:u w:val="single"/>
          <w:lang w:val="ro-RO"/>
        </w:rPr>
        <w:t>Anexa 1.</w:t>
      </w:r>
      <w:r>
        <w:rPr>
          <w:rFonts w:ascii="Arial" w:hAnsi="Arial" w:cs="Arial"/>
          <w:sz w:val="24"/>
          <w:szCs w:val="24"/>
          <w:lang w:val="ro-RO"/>
        </w:rPr>
        <w:t xml:space="preserve"> Nota de delegare</w:t>
      </w:r>
      <w:r w:rsidR="004576E8">
        <w:rPr>
          <w:rFonts w:ascii="Arial" w:hAnsi="Arial" w:cs="Arial"/>
          <w:sz w:val="24"/>
          <w:szCs w:val="24"/>
          <w:lang w:val="ro-RO"/>
        </w:rPr>
        <w:t xml:space="preserve"> – pentru plata taxelor și a cheltuielilor de deplasare</w:t>
      </w:r>
    </w:p>
    <w:p w14:paraId="5E27BC80" w14:textId="21AA09E8" w:rsidR="004576E8" w:rsidRDefault="004576E8" w:rsidP="004004F5">
      <w:pPr>
        <w:spacing w:line="360" w:lineRule="auto"/>
        <w:jc w:val="both"/>
        <w:rPr>
          <w:rFonts w:ascii="Arial" w:hAnsi="Arial" w:cs="Arial"/>
          <w:sz w:val="24"/>
          <w:szCs w:val="24"/>
          <w:lang w:val="ro-RO"/>
        </w:rPr>
      </w:pPr>
      <w:r w:rsidRPr="004576E8">
        <w:rPr>
          <w:rFonts w:ascii="Arial" w:hAnsi="Arial" w:cs="Arial"/>
          <w:sz w:val="24"/>
          <w:szCs w:val="24"/>
          <w:u w:val="single"/>
          <w:lang w:val="ro-RO"/>
        </w:rPr>
        <w:t>Anexa 2.</w:t>
      </w:r>
      <w:r>
        <w:rPr>
          <w:rFonts w:ascii="Arial" w:hAnsi="Arial" w:cs="Arial"/>
          <w:sz w:val="24"/>
          <w:szCs w:val="24"/>
          <w:lang w:val="ro-RO"/>
        </w:rPr>
        <w:t xml:space="preserve"> Nota de fundamentare – pentru achiziționarea materialelor consumabile. </w:t>
      </w:r>
    </w:p>
    <w:sectPr w:rsidR="004576E8" w:rsidSect="00A47ADE">
      <w:pgSz w:w="11907" w:h="16840" w:code="9"/>
      <w:pgMar w:top="720" w:right="864" w:bottom="720" w:left="864" w:header="706" w:footer="706" w:gutter="0"/>
      <w:paperSrc w:first="7"/>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C40A2"/>
    <w:multiLevelType w:val="hybridMultilevel"/>
    <w:tmpl w:val="9AD0A5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AE472E1"/>
    <w:multiLevelType w:val="hybridMultilevel"/>
    <w:tmpl w:val="DCA8BD66"/>
    <w:lvl w:ilvl="0" w:tplc="8576AA8A">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774B5606"/>
    <w:multiLevelType w:val="hybridMultilevel"/>
    <w:tmpl w:val="C04464A4"/>
    <w:lvl w:ilvl="0" w:tplc="8576AA8A">
      <w:numFmt w:val="bullet"/>
      <w:lvlText w:val="-"/>
      <w:lvlJc w:val="left"/>
      <w:pPr>
        <w:ind w:left="1800" w:hanging="360"/>
      </w:pPr>
      <w:rPr>
        <w:rFonts w:ascii="Arial" w:eastAsia="Times New Roman" w:hAnsi="Arial" w:cs="Aria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79225ECA"/>
    <w:multiLevelType w:val="multilevel"/>
    <w:tmpl w:val="9F3061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37343640">
    <w:abstractNumId w:val="3"/>
  </w:num>
  <w:num w:numId="2" w16cid:durableId="168839173">
    <w:abstractNumId w:val="1"/>
  </w:num>
  <w:num w:numId="3" w16cid:durableId="270743750">
    <w:abstractNumId w:val="2"/>
  </w:num>
  <w:num w:numId="4" w16cid:durableId="1941791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86"/>
    <w:rsid w:val="00013BDA"/>
    <w:rsid w:val="000B2DAA"/>
    <w:rsid w:val="0013452D"/>
    <w:rsid w:val="00167A39"/>
    <w:rsid w:val="0018345E"/>
    <w:rsid w:val="001C23A0"/>
    <w:rsid w:val="001C5787"/>
    <w:rsid w:val="001C6CA8"/>
    <w:rsid w:val="0021145D"/>
    <w:rsid w:val="00244622"/>
    <w:rsid w:val="0035704D"/>
    <w:rsid w:val="003967A1"/>
    <w:rsid w:val="003E42C2"/>
    <w:rsid w:val="004004F5"/>
    <w:rsid w:val="004576E8"/>
    <w:rsid w:val="004730F3"/>
    <w:rsid w:val="00496B76"/>
    <w:rsid w:val="00531FF2"/>
    <w:rsid w:val="00594662"/>
    <w:rsid w:val="005C2533"/>
    <w:rsid w:val="00643C7B"/>
    <w:rsid w:val="00646998"/>
    <w:rsid w:val="006836E0"/>
    <w:rsid w:val="0069036A"/>
    <w:rsid w:val="006F5602"/>
    <w:rsid w:val="00713FA9"/>
    <w:rsid w:val="00732B32"/>
    <w:rsid w:val="0073628D"/>
    <w:rsid w:val="00742536"/>
    <w:rsid w:val="00822F86"/>
    <w:rsid w:val="00884EB7"/>
    <w:rsid w:val="008A38AF"/>
    <w:rsid w:val="008D66C2"/>
    <w:rsid w:val="00934E1D"/>
    <w:rsid w:val="0093596F"/>
    <w:rsid w:val="00A03E68"/>
    <w:rsid w:val="00A2497F"/>
    <w:rsid w:val="00A47ADE"/>
    <w:rsid w:val="00B02C8C"/>
    <w:rsid w:val="00B32F22"/>
    <w:rsid w:val="00B74348"/>
    <w:rsid w:val="00BA7A54"/>
    <w:rsid w:val="00BC6D4F"/>
    <w:rsid w:val="00BE4EB7"/>
    <w:rsid w:val="00C21447"/>
    <w:rsid w:val="00C65955"/>
    <w:rsid w:val="00D563F7"/>
    <w:rsid w:val="00D6699A"/>
    <w:rsid w:val="00E15D87"/>
    <w:rsid w:val="00E63093"/>
    <w:rsid w:val="00E94175"/>
    <w:rsid w:val="00F47474"/>
    <w:rsid w:val="00F52209"/>
    <w:rsid w:val="00F77C73"/>
    <w:rsid w:val="00FD7868"/>
    <w:rsid w:val="00FF44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8F75"/>
  <w15:docId w15:val="{9E2ECC82-8F39-4262-84E2-109190A0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2"/>
        <w:lang w:val="ro-R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F86"/>
    <w:pPr>
      <w:spacing w:line="240" w:lineRule="auto"/>
    </w:pPr>
    <w:rPr>
      <w:rFonts w:ascii="Times New Roman" w:eastAsia="Times New Roman" w:hAnsi="Times New Roman" w:cs="Times New Roman"/>
      <w:sz w:val="20"/>
      <w:szCs w:val="20"/>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F86"/>
    <w:rPr>
      <w:rFonts w:ascii="Tahoma" w:hAnsi="Tahoma" w:cs="Tahoma"/>
      <w:sz w:val="16"/>
      <w:szCs w:val="16"/>
    </w:rPr>
  </w:style>
  <w:style w:type="character" w:customStyle="1" w:styleId="BalloonTextChar">
    <w:name w:val="Balloon Text Char"/>
    <w:basedOn w:val="DefaultParagraphFont"/>
    <w:link w:val="BalloonText"/>
    <w:uiPriority w:val="99"/>
    <w:semiHidden/>
    <w:rsid w:val="00822F86"/>
    <w:rPr>
      <w:rFonts w:ascii="Tahoma" w:eastAsia="Times New Roman" w:hAnsi="Tahoma" w:cs="Tahoma"/>
      <w:sz w:val="16"/>
      <w:szCs w:val="16"/>
      <w:lang w:val="en-US" w:eastAsia="ro-RO"/>
    </w:rPr>
  </w:style>
  <w:style w:type="paragraph" w:styleId="ListParagraph">
    <w:name w:val="List Paragraph"/>
    <w:basedOn w:val="Normal"/>
    <w:uiPriority w:val="34"/>
    <w:qFormat/>
    <w:rsid w:val="00822F86"/>
    <w:pPr>
      <w:ind w:left="720"/>
      <w:contextualSpacing/>
    </w:pPr>
  </w:style>
  <w:style w:type="table" w:styleId="TableGrid">
    <w:name w:val="Table Grid"/>
    <w:basedOn w:val="TableNormal"/>
    <w:uiPriority w:val="59"/>
    <w:rsid w:val="0064699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4622"/>
    <w:rPr>
      <w:color w:val="0000FF" w:themeColor="hyperlink"/>
      <w:u w:val="single"/>
    </w:rPr>
  </w:style>
  <w:style w:type="character" w:styleId="UnresolvedMention">
    <w:name w:val="Unresolved Mention"/>
    <w:basedOn w:val="DefaultParagraphFont"/>
    <w:uiPriority w:val="99"/>
    <w:semiHidden/>
    <w:unhideWhenUsed/>
    <w:rsid w:val="00244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vel.upb.r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690</Words>
  <Characters>4431</Characters>
  <Application>Microsoft Office Word</Application>
  <DocSecurity>0</DocSecurity>
  <Lines>67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Dana Corina Deselnicu (76882)</cp:lastModifiedBy>
  <cp:revision>4</cp:revision>
  <dcterms:created xsi:type="dcterms:W3CDTF">2026-02-28T15:16:00Z</dcterms:created>
  <dcterms:modified xsi:type="dcterms:W3CDTF">2026-02-28T15:18:00Z</dcterms:modified>
</cp:coreProperties>
</file>